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B7" w:rsidRPr="00C81EB7" w:rsidRDefault="00C81EB7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0"/>
          <w:szCs w:val="20"/>
        </w:rPr>
      </w:pPr>
      <w:bookmarkStart w:id="0" w:name="_GoBack"/>
      <w:r w:rsidRPr="00C81EB7">
        <w:rPr>
          <w:rFonts w:ascii="Arial" w:eastAsia="TimesNewRomanPSMT" w:hAnsi="Arial" w:cs="Arial"/>
          <w:b/>
          <w:sz w:val="20"/>
          <w:szCs w:val="20"/>
        </w:rPr>
        <w:t>Cenový věstník 13/2017</w:t>
      </w:r>
    </w:p>
    <w:bookmarkEnd w:id="0"/>
    <w:p w:rsidR="00C81EB7" w:rsidRPr="00C81EB7" w:rsidRDefault="00C81EB7" w:rsidP="00C81EB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</w:rPr>
      </w:pPr>
      <w:r w:rsidRPr="00C81EB7">
        <w:rPr>
          <w:rFonts w:ascii="Arial" w:hAnsi="Arial" w:cs="Arial"/>
          <w:b/>
          <w:bCs/>
        </w:rPr>
        <w:t>Výměr MF č. 01/2018 ze dne 28. listopadu 2017, kterým se</w:t>
      </w:r>
      <w:r w:rsidRPr="00C81EB7">
        <w:rPr>
          <w:rFonts w:ascii="Arial" w:hAnsi="Arial" w:cs="Arial"/>
          <w:b/>
          <w:bCs/>
        </w:rPr>
        <w:t xml:space="preserve"> </w:t>
      </w:r>
      <w:r w:rsidRPr="00C81EB7">
        <w:rPr>
          <w:rFonts w:ascii="Arial" w:hAnsi="Arial" w:cs="Arial"/>
          <w:b/>
          <w:bCs/>
        </w:rPr>
        <w:t>vydává seznam zboží s regulovanými cenami</w:t>
      </w:r>
    </w:p>
    <w:p w:rsidR="00C81EB7" w:rsidRPr="00C81EB7" w:rsidRDefault="00C81EB7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81EB7">
        <w:rPr>
          <w:rFonts w:ascii="Arial" w:hAnsi="Arial" w:cs="Arial"/>
          <w:b/>
          <w:bCs/>
        </w:rPr>
        <w:t xml:space="preserve">Část II. </w:t>
      </w:r>
      <w:r w:rsidRPr="00C81EB7">
        <w:rPr>
          <w:rFonts w:ascii="Arial" w:hAnsi="Arial" w:cs="Arial"/>
          <w:b/>
          <w:bCs/>
        </w:rPr>
        <w:t>Seznam zboží, u něhož se uplatňují věcně usměrňované ceny</w:t>
      </w:r>
    </w:p>
    <w:p w:rsidR="00C81EB7" w:rsidRPr="00C81EB7" w:rsidRDefault="00C81EB7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27FD4">
        <w:rPr>
          <w:rFonts w:ascii="Arial" w:hAnsi="Arial" w:cs="Arial"/>
          <w:b/>
          <w:bCs/>
          <w:color w:val="000000"/>
          <w:sz w:val="24"/>
          <w:szCs w:val="24"/>
        </w:rPr>
        <w:t>3. Užití železniční infrastruktury celostátních a regionálních drah a veřejně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27FD4">
        <w:rPr>
          <w:rFonts w:ascii="Arial" w:hAnsi="Arial" w:cs="Arial"/>
          <w:b/>
          <w:bCs/>
          <w:color w:val="000000"/>
          <w:sz w:val="24"/>
          <w:szCs w:val="24"/>
        </w:rPr>
        <w:t>přístupných vleček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hAnsi="Arial" w:cs="Arial"/>
          <w:color w:val="000000"/>
          <w:sz w:val="24"/>
          <w:szCs w:val="24"/>
        </w:rPr>
        <w:t>1. Cenová regulace platí pro: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hAnsi="Arial" w:cs="Arial"/>
          <w:color w:val="000000"/>
          <w:sz w:val="24"/>
          <w:szCs w:val="24"/>
        </w:rPr>
        <w:t>dráhy</w:t>
      </w:r>
      <w:proofErr w:type="gramEnd"/>
      <w:r w:rsidRPr="00E27FD4">
        <w:rPr>
          <w:rFonts w:ascii="Arial" w:hAnsi="Arial" w:cs="Arial"/>
          <w:color w:val="000000"/>
          <w:sz w:val="24"/>
          <w:szCs w:val="24"/>
        </w:rPr>
        <w:t xml:space="preserve"> celostátní podle §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3 odst. 1 písm. a) zákona č. 266/1994 Sb., o dráhách, ve znění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pozdějších předpisů,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hAnsi="Arial" w:cs="Arial"/>
          <w:color w:val="000000"/>
          <w:sz w:val="24"/>
          <w:szCs w:val="24"/>
        </w:rPr>
        <w:t>dráhy</w:t>
      </w:r>
      <w:proofErr w:type="gramEnd"/>
      <w:r w:rsidRPr="00E27FD4">
        <w:rPr>
          <w:rFonts w:ascii="Arial" w:hAnsi="Arial" w:cs="Arial"/>
          <w:color w:val="000000"/>
          <w:sz w:val="24"/>
          <w:szCs w:val="24"/>
        </w:rPr>
        <w:t xml:space="preserve"> regionální podle §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3 odst. 1 písm. b) zákona č. 266/1994 Sb., o dráhách,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ve</w:t>
      </w:r>
      <w:proofErr w:type="gramEnd"/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znění pozdějších předpisů,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vlečky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podle </w:t>
      </w:r>
      <w:r w:rsidRPr="00E27FD4">
        <w:rPr>
          <w:rFonts w:ascii="Arial" w:hAnsi="Arial" w:cs="Arial"/>
          <w:color w:val="000000"/>
          <w:sz w:val="24"/>
          <w:szCs w:val="24"/>
        </w:rPr>
        <w:t xml:space="preserve">§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3 odst. 1 písm. d) zákona č. 266/1994 Sb., o dráhách, ve znění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pozdějších předpisů. Cenová regulace platí pro vlečky veřejně přístupné podle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hAnsi="Arial" w:cs="Arial"/>
          <w:color w:val="000000"/>
          <w:sz w:val="24"/>
          <w:szCs w:val="24"/>
        </w:rPr>
        <w:t>§ 22a odst. 1 z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ákona č. 266/1994 Sb., o dráhách, ve znění pozdějších předpisů.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hAnsi="Arial" w:cs="Arial"/>
          <w:color w:val="000000"/>
          <w:sz w:val="24"/>
          <w:szCs w:val="24"/>
        </w:rPr>
        <w:t xml:space="preserve">Provozovatel dráhy a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přídělce odpovídají za uplatnění rovnocenných a nediskriminačních cen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4"/>
          <w:szCs w:val="24"/>
        </w:rPr>
        <w:t>pro všechny dopravce, kterým jsou poskytovány regulované služby podle níže uvedeného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4"/>
          <w:szCs w:val="24"/>
        </w:rPr>
        <w:t xml:space="preserve">odstavce 2 stejného druhu na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stejné anebo podobné části železniční infrastruktury.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2. Cena za užití železniční infrastruktury zahrnuje cenu přídělce za přidělení kapacity dráhy,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cenu provozovatele dráhy za užití dráhy jízdou vlaku, v případě vleček jízdou vlaku neb</w:t>
      </w:r>
      <w:r w:rsidRPr="00E27FD4"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4"/>
          <w:szCs w:val="24"/>
        </w:rPr>
        <w:t xml:space="preserve">posunového dílu, a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cenu provozovatele dráhy za přístup po dráze k zařízením služeb </w:t>
      </w:r>
      <w:r>
        <w:rPr>
          <w:rFonts w:ascii="Arial" w:eastAsia="TimesNewRomanPSMT" w:hAnsi="Arial" w:cs="Arial"/>
          <w:color w:val="000000"/>
          <w:sz w:val="24"/>
          <w:szCs w:val="24"/>
        </w:rPr>
        <w:t>(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dále jen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4"/>
          <w:szCs w:val="24"/>
        </w:rPr>
        <w:t>„regulované služby“)</w:t>
      </w:r>
      <w:r w:rsidRPr="00E27FD4">
        <w:rPr>
          <w:rFonts w:ascii="Arial" w:hAnsi="Arial" w:cs="Arial"/>
          <w:color w:val="000000"/>
          <w:sz w:val="20"/>
          <w:szCs w:val="20"/>
          <w:vertAlign w:val="superscript"/>
        </w:rPr>
        <w:t>32).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3. Do věcně usměrňované ceny za regulované služby lze zahrnout pouze ekonomicky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oprávněné náklady snížené o nepřímé nákladové položky.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4. Cena za regulované služby zahrnuje náklady přídělce přímo vynaložené na přidělení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hAnsi="Arial" w:cs="Arial"/>
          <w:color w:val="000000"/>
          <w:sz w:val="24"/>
          <w:szCs w:val="24"/>
        </w:rPr>
        <w:t xml:space="preserve">kapacity dráhy a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provozovatele dráhy a vlastníka dráhy přímo vynaložené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na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>: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a) zajištění provozování dráhy (řízení provozu),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b) zajištění provozuschopnosti dráhy (údržba </w:t>
      </w:r>
      <w:r w:rsidRPr="00E27FD4">
        <w:rPr>
          <w:rFonts w:ascii="Arial" w:hAnsi="Arial" w:cs="Arial"/>
          <w:color w:val="000000"/>
          <w:sz w:val="24"/>
          <w:szCs w:val="24"/>
        </w:rPr>
        <w:t>a opravy infrastruktury),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c) zajištění přístupu po dráze k zařízením služeb.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hAnsi="Arial" w:cs="Arial"/>
          <w:color w:val="000000"/>
          <w:sz w:val="24"/>
          <w:szCs w:val="24"/>
        </w:rPr>
        <w:t>Náklady podle písmene a) a b) zahrnují pouze náklady spojené s použitím dráhy jízdou vlaku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4"/>
          <w:szCs w:val="24"/>
        </w:rPr>
        <w:t>nebo posunového dílu.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5. Za náklady přímo vynaložené na provoz železniční dopravy nelze kromě nákladů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uvedených v úvodu části II. tohoto výměru považovat ani: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výdaje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na pořízení zásob</w:t>
      </w:r>
      <w:r w:rsidRPr="00E27FD4">
        <w:rPr>
          <w:rFonts w:ascii="Arial" w:hAnsi="Arial" w:cs="Arial"/>
          <w:color w:val="000000"/>
          <w:sz w:val="24"/>
          <w:szCs w:val="24"/>
        </w:rPr>
        <w:t>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hAnsi="Arial" w:cs="Arial"/>
          <w:color w:val="000000"/>
          <w:sz w:val="24"/>
          <w:szCs w:val="24"/>
        </w:rPr>
        <w:t>náklady</w:t>
      </w:r>
      <w:proofErr w:type="gramEnd"/>
      <w:r w:rsidRPr="00E27FD4">
        <w:rPr>
          <w:rFonts w:ascii="Arial" w:hAnsi="Arial" w:cs="Arial"/>
          <w:color w:val="000000"/>
          <w:sz w:val="24"/>
          <w:szCs w:val="24"/>
        </w:rPr>
        <w:t xml:space="preserve"> na provozuschopnost dráhy spojené s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odstraňováním škody na majetku,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náklady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(výdaje) na zprostředkování a na činnost jiných osob, které jsou již součástí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vlastních nákladů vlastníka, přídělce nebo provozovatele dráhy, anebo na činnosti, které by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mohl zabezpečit vlastník, přídělce nebo provozovatel dráhy sám, anebo prostřednictvím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4"/>
          <w:szCs w:val="24"/>
        </w:rPr>
        <w:t>jiných osob s nižšími náklady, než jsou náklady provozovatele,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členské příspěvky a náklady na činnost jiných osob,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náklady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vyplývající z chyb ve výpočtech, v kalkulačních propočtech, anebo v účetnictví,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hAnsi="Arial" w:cs="Arial"/>
          <w:color w:val="000000"/>
          <w:sz w:val="24"/>
          <w:szCs w:val="24"/>
        </w:rPr>
        <w:t>pokuty</w:t>
      </w:r>
      <w:proofErr w:type="gramEnd"/>
      <w:r w:rsidRPr="00E27FD4">
        <w:rPr>
          <w:rFonts w:ascii="Arial" w:hAnsi="Arial" w:cs="Arial"/>
          <w:color w:val="000000"/>
          <w:sz w:val="24"/>
          <w:szCs w:val="24"/>
        </w:rPr>
        <w:t xml:space="preserve"> za nedo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držení odběrních limitů energie,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hAnsi="Arial" w:cs="Arial"/>
          <w:color w:val="000000"/>
          <w:sz w:val="24"/>
          <w:szCs w:val="24"/>
        </w:rPr>
        <w:t>náklady</w:t>
      </w:r>
      <w:proofErr w:type="gramEnd"/>
      <w:r w:rsidRPr="00E27FD4">
        <w:rPr>
          <w:rFonts w:ascii="Arial" w:hAnsi="Arial" w:cs="Arial"/>
          <w:color w:val="000000"/>
          <w:sz w:val="24"/>
          <w:szCs w:val="24"/>
        </w:rPr>
        <w:t xml:space="preserve"> na zdra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votní prohlídky pro zaměstnance,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hAnsi="Arial" w:cs="Arial"/>
          <w:color w:val="000000"/>
          <w:sz w:val="24"/>
          <w:szCs w:val="24"/>
        </w:rPr>
        <w:t>ná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klady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na vzdělávání zaměstnanců,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lastRenderedPageBreak/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příspěvky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zaměstnavatele na kapitálové životní pojištění a penzijní připojištění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zaměstnanců,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příspěvky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zaměstnavatele na komplexní ozdravné pobyty zaměstnanců,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odpisy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hmotného a nehmotného majetku a náklady na vyřazený hmotný a ne</w:t>
      </w:r>
      <w:r w:rsidRPr="00E27FD4">
        <w:rPr>
          <w:rFonts w:ascii="Arial" w:hAnsi="Arial" w:cs="Arial"/>
          <w:color w:val="000000"/>
          <w:sz w:val="24"/>
          <w:szCs w:val="24"/>
        </w:rPr>
        <w:t>hmotný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majetek včetně zůstatkové ceny vyřazenéh</w:t>
      </w:r>
      <w:r w:rsidRPr="00E27FD4">
        <w:rPr>
          <w:rFonts w:ascii="Arial" w:hAnsi="Arial" w:cs="Arial"/>
          <w:color w:val="000000"/>
          <w:sz w:val="24"/>
          <w:szCs w:val="24"/>
        </w:rPr>
        <w:t>o hmotného a nehmotného majetku,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hAnsi="Arial" w:cs="Arial"/>
          <w:color w:val="000000"/>
          <w:sz w:val="24"/>
          <w:szCs w:val="24"/>
        </w:rPr>
        <w:t>další</w:t>
      </w:r>
      <w:proofErr w:type="gramEnd"/>
      <w:r w:rsidRPr="00E27FD4">
        <w:rPr>
          <w:rFonts w:ascii="Arial" w:hAnsi="Arial" w:cs="Arial"/>
          <w:color w:val="000000"/>
          <w:sz w:val="24"/>
          <w:szCs w:val="24"/>
        </w:rPr>
        <w:t xml:space="preserve"> režijní náklady,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náklady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na splátky leasingové společnosti za věci, které byly dříve ve vlastnictví nájemce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hAnsi="Arial" w:cs="Arial"/>
          <w:color w:val="000000"/>
          <w:sz w:val="24"/>
          <w:szCs w:val="24"/>
        </w:rPr>
        <w:t xml:space="preserve">a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byly následně prodány leasingové společnosti a pronajaty nájemcem (zpětný leasing),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a dále náklady uvedené v čl. 4 odst. 1 písm. a) až o) přímo použitelného předpisu Evropské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4"/>
          <w:szCs w:val="24"/>
        </w:rPr>
        <w:t>unie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hAnsi="Arial" w:cs="Arial"/>
          <w:color w:val="000000"/>
          <w:sz w:val="20"/>
          <w:szCs w:val="20"/>
          <w:vertAlign w:val="superscript"/>
        </w:rPr>
        <w:t>33).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6. Za ekonomicky oprávněné náklady se považují náklady uvedené v čl. 3 odst. 1 a 4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prováděcího nařízení</w:t>
      </w:r>
      <w:r w:rsidRPr="00E27FD4">
        <w:rPr>
          <w:rFonts w:ascii="Arial" w:hAnsi="Arial" w:cs="Arial"/>
          <w:color w:val="000000"/>
          <w:sz w:val="16"/>
          <w:szCs w:val="16"/>
        </w:rPr>
        <w:t xml:space="preserve">33)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za podmínek v něm </w:t>
      </w:r>
      <w:r w:rsidRPr="00E27FD4">
        <w:rPr>
          <w:rFonts w:ascii="Arial" w:hAnsi="Arial" w:cs="Arial"/>
          <w:color w:val="000000"/>
          <w:sz w:val="24"/>
          <w:szCs w:val="24"/>
        </w:rPr>
        <w:t>uvedených.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7. Do kalkulace ceny nelze zahrnout část oprávněných </w:t>
      </w:r>
      <w:r w:rsidRPr="00E27FD4">
        <w:rPr>
          <w:rFonts w:ascii="Arial" w:hAnsi="Arial" w:cs="Arial"/>
          <w:color w:val="000000"/>
          <w:sz w:val="24"/>
          <w:szCs w:val="24"/>
        </w:rPr>
        <w:t>náklad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ů, na které jsou poskytnuty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7FD4">
        <w:rPr>
          <w:rFonts w:ascii="Arial" w:hAnsi="Arial" w:cs="Arial"/>
          <w:color w:val="000000"/>
          <w:sz w:val="24"/>
          <w:szCs w:val="24"/>
        </w:rPr>
        <w:t>dotace.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Kalkulace základních cen za regulované služby musí být zpracována na základě nákladů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přímo vynaložených na regulované služby na celé síti </w:t>
      </w:r>
      <w:r w:rsidRPr="00E27FD4">
        <w:rPr>
          <w:rFonts w:ascii="Arial" w:hAnsi="Arial" w:cs="Arial"/>
          <w:color w:val="000000"/>
          <w:sz w:val="24"/>
          <w:szCs w:val="24"/>
        </w:rPr>
        <w:t>s výjimkou: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vleček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>, kde může být cena za užití dráhy jízdou vlaku nebo posunového dílu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zpracována na základě nákladů přímo vynaložených na regulované služby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poskytované na konkrétní vlečce,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proofErr w:type="gramStart"/>
      <w:r w:rsidRPr="00E27FD4">
        <w:rPr>
          <w:rFonts w:ascii="Arial" w:eastAsia="TimesNewRomanPSMT" w:hAnsi="Arial" w:cs="Arial"/>
          <w:color w:val="000000"/>
          <w:sz w:val="24"/>
          <w:szCs w:val="24"/>
        </w:rPr>
        <w:t>přístupu</w:t>
      </w:r>
      <w:proofErr w:type="gramEnd"/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po dráze k zařízením služeb, kde může být cena zpracována na základě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nákladů přímo vynaložených na regulované služby v místě přístupu.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8. Cena za užití dráhy jízdou vlaku (v případě vleček jízdou vlaku nebo posunového dílu) se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kalkuluje na jednotku dopravního výkonu vlaku nebo posunového dílu, např. „vlakový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kilometr“, „hrubý tunový kilometr“ nebo „počet vydaných souhlasů k jízdě na vlečku“.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Samostatná kalkulace ceny musí být provedena podle jednotlivých kategorií drah, které jsou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součástí cenového modelu zveřejněného v platném znění Prohlášení o dráze vydávaného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přídělcem kapacity dráhy, podle druhů dopravy (osobní, nákladní), podle případné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vybavenosti vlaku systémem ETCS</w:t>
      </w:r>
      <w:r w:rsidRPr="00E27FD4">
        <w:rPr>
          <w:rFonts w:ascii="Arial" w:eastAsia="TimesNewRomanPSMT" w:hAnsi="Arial" w:cs="Arial"/>
          <w:color w:val="000000"/>
          <w:sz w:val="16"/>
          <w:szCs w:val="16"/>
        </w:rPr>
        <w:t xml:space="preserve">34)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a jeho využití, v případě, že je u nich uplatněna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rozdílná základní cena. U koeficientů ovlivňujících výslednou cenu za užití dráhy jízdou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vlaku nebo posunového dílu, vyplývajících z cenového modelu, musí být přídělce schopen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doložit regulátorovi postup při jejich stanovení.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9. Samostatné kalkulace ceny za zajištění přístupu po dráze k zařízením služeb musí být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v rámci stejného druhu služby zpracovány jen v případě, že je u nich uplatněna rozdílná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základní cena. U případně použitých koeficientů ovlivňujících výslednou cenu v</w:t>
      </w:r>
      <w:r>
        <w:rPr>
          <w:rFonts w:ascii="Arial" w:eastAsia="TimesNewRomanPSMT" w:hAnsi="Arial" w:cs="Arial"/>
          <w:color w:val="000000"/>
          <w:sz w:val="24"/>
          <w:szCs w:val="24"/>
        </w:rPr>
        <w:t> 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rámci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stejného druhu služby musí být přídělce schopen doložit regulátorovi postup při jejich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stanovení.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_________________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  <w:vertAlign w:val="superscript"/>
        </w:rPr>
        <w:t>32)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§ 23 a 33 zákona č. 266/1994 Sb., o dráhách, ve znění pozdějších předpisů; odst. 1 článku 13 směrnice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Evropského Parlamentu a Rady 2012/34/EU, o vytvoření jednotného evropského železničního prostoru.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  <w:vertAlign w:val="superscript"/>
        </w:rPr>
        <w:t>33)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Prováděcí nařízení komise (EU) 2015/909 ze dne 12. 6. 2015, o způsobech výpočtu nákladů přímo vynaložených na provoz železniční dopravy.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  <w:vertAlign w:val="superscript"/>
        </w:rPr>
        <w:t>34)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 xml:space="preserve"> Čl. 32 odst. 4 směrnice 2012/34 EU ze dne 21. 11. 2012 o vytvoření jednotného evropského železničního prostoru.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C81EB7" w:rsidRPr="00C81EB7" w:rsidRDefault="00C81EB7" w:rsidP="00C81EB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C81EB7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10. Celková výše tržeb přídělce za přidělení dráhy a provozovatele infrastruktury z ceny </w:t>
      </w:r>
      <w:proofErr w:type="gramStart"/>
      <w:r w:rsidRPr="00C81EB7">
        <w:rPr>
          <w:rFonts w:ascii="Arial" w:eastAsia="TimesNewRomanPSMT" w:hAnsi="Arial" w:cs="Arial"/>
          <w:color w:val="000000"/>
          <w:sz w:val="24"/>
          <w:szCs w:val="24"/>
        </w:rPr>
        <w:t>za</w:t>
      </w:r>
      <w:proofErr w:type="gramEnd"/>
    </w:p>
    <w:p w:rsidR="00C81EB7" w:rsidRPr="00C81EB7" w:rsidRDefault="00C81EB7" w:rsidP="00C81EB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C81EB7">
        <w:rPr>
          <w:rFonts w:ascii="Arial" w:eastAsia="TimesNewRomanPSMT" w:hAnsi="Arial" w:cs="Arial"/>
          <w:color w:val="000000"/>
          <w:sz w:val="24"/>
          <w:szCs w:val="24"/>
        </w:rPr>
        <w:t>užití železniční infrastruktury na celé síti, včetně případně uplatněné přirážky na části</w:t>
      </w:r>
    </w:p>
    <w:p w:rsidR="00C81EB7" w:rsidRPr="00C81EB7" w:rsidRDefault="00C81EB7" w:rsidP="00C81EB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C81EB7">
        <w:rPr>
          <w:rFonts w:ascii="Arial" w:eastAsia="TimesNewRomanPSMT" w:hAnsi="Arial" w:cs="Arial"/>
          <w:color w:val="000000"/>
          <w:sz w:val="24"/>
          <w:szCs w:val="24"/>
        </w:rPr>
        <w:t>infrastruktury s nedostatkem kapacity dráhy během období přetížení, nesmí přesáhnout</w:t>
      </w:r>
    </w:p>
    <w:p w:rsidR="00C81EB7" w:rsidRDefault="00C81EB7" w:rsidP="00C81EB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C81EB7">
        <w:rPr>
          <w:rFonts w:ascii="Arial" w:eastAsia="TimesNewRomanPSMT" w:hAnsi="Arial" w:cs="Arial"/>
          <w:color w:val="000000"/>
          <w:sz w:val="24"/>
          <w:szCs w:val="24"/>
        </w:rPr>
        <w:t>celkovou výši nákladů přímo vynaložených na realizaci regulovaných služeb. Tato přirážka za regulované služby nesmí přesáhnout 100 % regulované ceny.</w:t>
      </w:r>
    </w:p>
    <w:p w:rsidR="00C81EB7" w:rsidRDefault="00C81EB7" w:rsidP="00C81EB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11. Pokud je na určité části infrastruktury uplatňována přirážka k regulované ceně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za regulované služby v souladu s odstavcem 10, je nutno provést kalkulaci této ceny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samostatně.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12. Provozovatel dráhy může upravit průměrné přímé jednotkové náklady postupem podle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čl. 5 odst. 2 prováděcího nařízení</w:t>
      </w:r>
      <w:r w:rsidRPr="00E27FD4">
        <w:rPr>
          <w:rFonts w:ascii="Arial" w:eastAsia="TimesNewRomanPSMT" w:hAnsi="Arial" w:cs="Arial"/>
          <w:color w:val="000000"/>
          <w:sz w:val="16"/>
          <w:szCs w:val="16"/>
        </w:rPr>
        <w:t xml:space="preserve">35)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při splnění podmínek stanovených v odstavci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3 uvedeného článku.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13. S ohledem na povinnosti přídělce uložené mu zvláštním právním předpisem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36</w:t>
      </w:r>
      <w:r w:rsidRPr="00E27FD4">
        <w:rPr>
          <w:rFonts w:ascii="Arial" w:eastAsia="TimesNewRomanPSMT" w:hAnsi="Arial" w:cs="Arial"/>
          <w:color w:val="000000"/>
          <w:sz w:val="16"/>
          <w:szCs w:val="16"/>
        </w:rPr>
        <w:t xml:space="preserve">)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se cena za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regulované služby vykalkuluje s platností pro dobu trvání jízdního řádu a zveřejňuje se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v Prohlášení o dráze. V průběhu platnosti Prohlášení o dráze nemá přídělce ani provozovatel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dráhy povinnost upravovat vyhlášenou cenu podle měnící se výše nákladových vstupů, ze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kterých se cena kalkuluje. Stejně tak přídělce ani provozovatel dráhy nemá po zveřejnění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Prohlášení o dráze povinnost upravovat již vyhlášenou cenu při změnách pravidel cenové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regulace provedených po zveřejnění tohoto Prohlášení o dráze.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16"/>
          <w:szCs w:val="16"/>
        </w:rPr>
      </w:pPr>
      <w:r w:rsidRPr="00E27FD4">
        <w:rPr>
          <w:rFonts w:ascii="Arial" w:eastAsia="TimesNewRomanPSMT" w:hAnsi="Arial" w:cs="Arial"/>
          <w:b/>
          <w:bCs/>
          <w:color w:val="000000"/>
          <w:sz w:val="24"/>
          <w:szCs w:val="24"/>
        </w:rPr>
        <w:t>4. Veřejné užití jinak veřejně nepřístupné vlečky</w:t>
      </w: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37)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Pro účely regulace cen platí: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Za ekonomicky oprávněné náklady nelze uznat náklady na splátky leasingové společnosti za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věci, které byly dříve ve vlastnictví nájemce a byly následně prodány leasingové společnosti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a pronajaty nájemcem (zpětný leasing).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bCs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16"/>
          <w:szCs w:val="16"/>
        </w:rPr>
      </w:pPr>
      <w:r w:rsidRPr="00E27FD4">
        <w:rPr>
          <w:rFonts w:ascii="Arial" w:eastAsia="TimesNewRomanPSMT" w:hAnsi="Arial" w:cs="Arial"/>
          <w:b/>
          <w:bCs/>
          <w:color w:val="000000"/>
          <w:sz w:val="24"/>
          <w:szCs w:val="24"/>
        </w:rPr>
        <w:t>5. Užití zařízení služeb pro účely bezprostředně související s</w:t>
      </w: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> </w:t>
      </w:r>
      <w:r w:rsidRPr="00E27FD4">
        <w:rPr>
          <w:rFonts w:ascii="Arial" w:eastAsia="TimesNewRomanPSMT" w:hAnsi="Arial" w:cs="Arial"/>
          <w:b/>
          <w:bCs/>
          <w:color w:val="000000"/>
          <w:sz w:val="24"/>
          <w:szCs w:val="24"/>
        </w:rPr>
        <w:t>provozov</w:t>
      </w: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áním </w:t>
      </w:r>
      <w:r w:rsidRPr="00E27FD4">
        <w:rPr>
          <w:rFonts w:ascii="Arial" w:eastAsia="TimesNewRomanPSMT" w:hAnsi="Arial" w:cs="Arial"/>
          <w:b/>
          <w:bCs/>
          <w:color w:val="000000"/>
          <w:sz w:val="24"/>
          <w:szCs w:val="24"/>
        </w:rPr>
        <w:t>dr</w:t>
      </w: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>á</w:t>
      </w:r>
      <w:r w:rsidRPr="00E27FD4">
        <w:rPr>
          <w:rFonts w:ascii="Arial" w:eastAsia="TimesNewRomanPSMT" w:hAnsi="Arial" w:cs="Arial"/>
          <w:b/>
          <w:bCs/>
          <w:color w:val="000000"/>
          <w:sz w:val="24"/>
          <w:szCs w:val="24"/>
        </w:rPr>
        <w:t>ž</w:t>
      </w:r>
      <w:r>
        <w:rPr>
          <w:rFonts w:ascii="Arial" w:eastAsia="TimesNewRomanPSMT" w:hAnsi="Arial" w:cs="Arial"/>
          <w:b/>
          <w:bCs/>
          <w:color w:val="000000"/>
          <w:sz w:val="24"/>
          <w:szCs w:val="24"/>
        </w:rPr>
        <w:t>ní</w:t>
      </w:r>
      <w:r w:rsidRPr="00E27FD4">
        <w:rPr>
          <w:rFonts w:ascii="Arial" w:eastAsia="TimesNewRomanPSMT" w:hAnsi="Arial" w:cs="Arial"/>
          <w:b/>
          <w:bCs/>
          <w:color w:val="000000"/>
          <w:sz w:val="24"/>
          <w:szCs w:val="24"/>
        </w:rPr>
        <w:t xml:space="preserve"> dopravy</w:t>
      </w:r>
      <w:r w:rsidRPr="00E27FD4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38</w:t>
      </w:r>
      <w:r w:rsidRPr="00E27FD4">
        <w:rPr>
          <w:rFonts w:ascii="Arial" w:eastAsia="TimesNewRomanPSMT" w:hAnsi="Arial" w:cs="Arial"/>
          <w:color w:val="000000"/>
          <w:sz w:val="16"/>
          <w:szCs w:val="16"/>
        </w:rPr>
        <w:t>)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Pro účely regulace cen platí: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4"/>
          <w:szCs w:val="24"/>
        </w:rPr>
        <w:t>Za ekonomicky oprávněné náklady nelze uznat náklady na splátky leasingové společnosti za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věci, které byly dříve ve vlastnictví nájemce a byly následně prodány leasingové společnosti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a pronajaty nájemcem (zpětný leasing).</w:t>
      </w:r>
    </w:p>
    <w:p w:rsid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sz w:val="24"/>
          <w:szCs w:val="24"/>
        </w:rPr>
      </w:pPr>
      <w:r>
        <w:rPr>
          <w:rFonts w:ascii="Arial" w:eastAsia="TimesNewRomanPSMT" w:hAnsi="Arial" w:cs="Arial"/>
          <w:color w:val="000000"/>
          <w:sz w:val="24"/>
          <w:szCs w:val="24"/>
        </w:rPr>
        <w:t>_________________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35)</w:t>
      </w:r>
      <w:r w:rsidRPr="00E27FD4">
        <w:rPr>
          <w:rFonts w:ascii="Arial" w:eastAsia="TimesNewRomanPSMT" w:hAnsi="Arial" w:cs="Arial"/>
          <w:color w:val="000000"/>
          <w:sz w:val="13"/>
          <w:szCs w:val="13"/>
        </w:rPr>
        <w:t xml:space="preserve"> </w:t>
      </w:r>
      <w:r>
        <w:rPr>
          <w:rFonts w:ascii="Arial" w:eastAsia="TimesNewRomanPSMT" w:hAnsi="Arial" w:cs="Arial"/>
          <w:color w:val="000000"/>
          <w:sz w:val="13"/>
          <w:szCs w:val="13"/>
        </w:rPr>
        <w:t xml:space="preserve">   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Prováděcí nařízení komise (EU) 2015/909 ze dne 12. 6. 2015, o způsobech výpočtu nákladů přímo</w:t>
      </w:r>
      <w:r>
        <w:rPr>
          <w:rFonts w:ascii="Arial" w:eastAsia="TimesNewRomanPSMT" w:hAnsi="Arial" w:cs="Arial"/>
          <w:color w:val="000000"/>
          <w:sz w:val="24"/>
          <w:szCs w:val="24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vynaložených na provoz železniční dopravy.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36)</w:t>
      </w:r>
      <w:r w:rsidRPr="00E27FD4">
        <w:rPr>
          <w:rFonts w:ascii="Arial" w:eastAsia="TimesNewRomanPSMT" w:hAnsi="Arial" w:cs="Arial"/>
          <w:color w:val="000000"/>
          <w:sz w:val="13"/>
          <w:szCs w:val="13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§ 33 zákona č. 266/1994 Sb.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37)</w:t>
      </w:r>
      <w:r w:rsidRPr="00E27FD4">
        <w:rPr>
          <w:rFonts w:ascii="Arial" w:eastAsia="TimesNewRomanPSMT" w:hAnsi="Arial" w:cs="Arial"/>
          <w:color w:val="000000"/>
          <w:sz w:val="13"/>
          <w:szCs w:val="13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§ 22a odst. 2 zákona č. 266/1994 Sb.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NewRomanPSMT" w:hAnsi="Arial" w:cs="Arial"/>
          <w:color w:val="000000"/>
          <w:sz w:val="24"/>
          <w:szCs w:val="24"/>
        </w:rPr>
      </w:pPr>
      <w:r w:rsidRPr="00E27FD4">
        <w:rPr>
          <w:rFonts w:ascii="Arial" w:eastAsia="TimesNewRomanPSMT" w:hAnsi="Arial" w:cs="Arial"/>
          <w:color w:val="000000"/>
          <w:sz w:val="20"/>
          <w:szCs w:val="20"/>
          <w:vertAlign w:val="superscript"/>
        </w:rPr>
        <w:t>38)</w:t>
      </w:r>
      <w:r w:rsidRPr="00E27FD4">
        <w:rPr>
          <w:rFonts w:ascii="Arial" w:eastAsia="TimesNewRomanPSMT" w:hAnsi="Arial" w:cs="Arial"/>
          <w:color w:val="000000"/>
          <w:sz w:val="13"/>
          <w:szCs w:val="13"/>
        </w:rPr>
        <w:t xml:space="preserve"> </w:t>
      </w:r>
      <w:r w:rsidRPr="00E27FD4">
        <w:rPr>
          <w:rFonts w:ascii="Arial" w:eastAsia="TimesNewRomanPSMT" w:hAnsi="Arial" w:cs="Arial"/>
          <w:color w:val="000000"/>
          <w:sz w:val="24"/>
          <w:szCs w:val="24"/>
        </w:rPr>
        <w:t>§ 23d zákona č. 266/1994 Sb.</w:t>
      </w:r>
    </w:p>
    <w:p w:rsidR="00E27FD4" w:rsidRPr="00E27FD4" w:rsidRDefault="00E27FD4" w:rsidP="00E27FD4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FFFFFF"/>
          <w:sz w:val="24"/>
          <w:szCs w:val="24"/>
        </w:rPr>
      </w:pPr>
      <w:r w:rsidRPr="00E27FD4">
        <w:rPr>
          <w:rFonts w:ascii="Arial" w:eastAsia="TimesNewRomanPSMT" w:hAnsi="Arial" w:cs="Arial"/>
          <w:color w:val="FFFFFF"/>
          <w:sz w:val="24"/>
          <w:szCs w:val="24"/>
        </w:rPr>
        <w:t>16</w:t>
      </w:r>
    </w:p>
    <w:sectPr w:rsidR="00E27FD4" w:rsidRPr="00E27FD4" w:rsidSect="00E27FD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D4"/>
    <w:rsid w:val="00C81EB7"/>
    <w:rsid w:val="00E27FD4"/>
    <w:rsid w:val="00E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DBF0"/>
  <w15:chartTrackingRefBased/>
  <w15:docId w15:val="{E1027931-ADFA-4C25-B05F-9EB36BE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1171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Miroslav Ing.</dc:creator>
  <cp:keywords/>
  <dc:description/>
  <cp:lastModifiedBy>Stehlík Miroslav Ing.</cp:lastModifiedBy>
  <cp:revision>2</cp:revision>
  <dcterms:created xsi:type="dcterms:W3CDTF">2018-04-11T06:47:00Z</dcterms:created>
  <dcterms:modified xsi:type="dcterms:W3CDTF">2018-04-11T07:02:00Z</dcterms:modified>
</cp:coreProperties>
</file>