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6A90C" w14:textId="77777777" w:rsidR="00982AE4" w:rsidRPr="00976215" w:rsidRDefault="00883E42" w:rsidP="00976215">
      <w:pPr>
        <w:pStyle w:val="Nadpis1"/>
      </w:pPr>
      <w:r w:rsidRPr="00976215">
        <w:t xml:space="preserve">Nástroj pro propojení Evropy </w:t>
      </w:r>
      <w:r w:rsidR="00976215">
        <w:t>2021 – 2027 (</w:t>
      </w:r>
      <w:r w:rsidR="00982AE4" w:rsidRPr="00976215">
        <w:t>CEF</w:t>
      </w:r>
      <w:r w:rsidR="002F3B34" w:rsidRPr="00976215">
        <w:t>2</w:t>
      </w:r>
      <w:r w:rsidR="00976215">
        <w:t>)</w:t>
      </w:r>
      <w:r w:rsidR="005304A2" w:rsidRPr="00976215">
        <w:t xml:space="preserve"> –</w:t>
      </w:r>
      <w:r w:rsidRPr="00976215">
        <w:t xml:space="preserve"> doprava</w:t>
      </w:r>
      <w:r w:rsidR="00976215" w:rsidRPr="00976215">
        <w:t>:</w:t>
      </w:r>
      <w:r w:rsidR="00976215" w:rsidRPr="00976215">
        <w:br/>
        <w:t>p</w:t>
      </w:r>
      <w:r w:rsidR="005304A2" w:rsidRPr="00976215">
        <w:t>ředběžná informace</w:t>
      </w:r>
      <w:r w:rsidR="00B74618" w:rsidRPr="00976215">
        <w:t xml:space="preserve"> o stavu přípravy</w:t>
      </w:r>
    </w:p>
    <w:p w14:paraId="68B01FCD" w14:textId="77777777" w:rsidR="008A41F1" w:rsidRPr="00BD4BB9" w:rsidRDefault="00E8649E" w:rsidP="00976215">
      <w:pPr>
        <w:pBdr>
          <w:top w:val="single" w:sz="8" w:space="1" w:color="FF0000"/>
          <w:left w:val="single" w:sz="8" w:space="4" w:color="FF0000"/>
          <w:bottom w:val="single" w:sz="8" w:space="1" w:color="FF0000"/>
          <w:right w:val="single" w:sz="8" w:space="4" w:color="FF0000"/>
        </w:pBdr>
        <w:jc w:val="center"/>
        <w:rPr>
          <w:rFonts w:cstheme="minorHAnsi"/>
          <w:b/>
          <w:color w:val="FF0000"/>
          <w:sz w:val="26"/>
          <w:szCs w:val="26"/>
        </w:rPr>
      </w:pPr>
      <w:r w:rsidRPr="00976215">
        <w:rPr>
          <w:rFonts w:cstheme="minorHAnsi"/>
          <w:b/>
          <w:color w:val="FF0000"/>
          <w:sz w:val="26"/>
          <w:szCs w:val="26"/>
        </w:rPr>
        <w:t>UPOZORNĚNÍ:</w:t>
      </w:r>
      <w:r w:rsidRPr="00BD4BB9">
        <w:rPr>
          <w:rFonts w:cstheme="minorHAnsi"/>
          <w:color w:val="FF0000"/>
          <w:sz w:val="26"/>
          <w:szCs w:val="26"/>
        </w:rPr>
        <w:t xml:space="preserve"> </w:t>
      </w:r>
      <w:r w:rsidR="008A41F1" w:rsidRPr="00BD4BB9">
        <w:rPr>
          <w:rFonts w:cstheme="minorHAnsi"/>
          <w:color w:val="FF0000"/>
          <w:sz w:val="26"/>
          <w:szCs w:val="26"/>
        </w:rPr>
        <w:t>Jedná se o předběžnou informaci na zák</w:t>
      </w:r>
      <w:r w:rsidRPr="00BD4BB9">
        <w:rPr>
          <w:rFonts w:cstheme="minorHAnsi"/>
          <w:color w:val="FF0000"/>
          <w:sz w:val="26"/>
          <w:szCs w:val="26"/>
        </w:rPr>
        <w:t>ladě aktuálního stavu přípravy.</w:t>
      </w:r>
      <w:r w:rsidR="00976215">
        <w:rPr>
          <w:rFonts w:cstheme="minorHAnsi"/>
          <w:color w:val="FF0000"/>
          <w:sz w:val="26"/>
          <w:szCs w:val="26"/>
        </w:rPr>
        <w:t xml:space="preserve"> Legislativa dosud nebyla schválena. </w:t>
      </w:r>
      <w:r w:rsidR="008A41F1" w:rsidRPr="00BD4BB9">
        <w:rPr>
          <w:rFonts w:cstheme="minorHAnsi"/>
          <w:b/>
          <w:color w:val="FF0000"/>
          <w:sz w:val="26"/>
          <w:szCs w:val="26"/>
        </w:rPr>
        <w:t xml:space="preserve">Informace se mohou </w:t>
      </w:r>
      <w:r w:rsidRPr="00BD4BB9">
        <w:rPr>
          <w:rFonts w:cstheme="minorHAnsi"/>
          <w:b/>
          <w:color w:val="FF0000"/>
          <w:sz w:val="26"/>
          <w:szCs w:val="26"/>
        </w:rPr>
        <w:t>z</w:t>
      </w:r>
      <w:r w:rsidR="008A41F1" w:rsidRPr="00BD4BB9">
        <w:rPr>
          <w:rFonts w:cstheme="minorHAnsi"/>
          <w:b/>
          <w:color w:val="FF0000"/>
          <w:sz w:val="26"/>
          <w:szCs w:val="26"/>
        </w:rPr>
        <w:t>měnit</w:t>
      </w:r>
      <w:r w:rsidRPr="00BD4BB9">
        <w:rPr>
          <w:rFonts w:cstheme="minorHAnsi"/>
          <w:b/>
          <w:color w:val="FF0000"/>
          <w:sz w:val="26"/>
          <w:szCs w:val="26"/>
        </w:rPr>
        <w:t>!!!</w:t>
      </w:r>
    </w:p>
    <w:p w14:paraId="47C0F1A2" w14:textId="45567CE1" w:rsidR="00883E42" w:rsidRDefault="00883E42" w:rsidP="00883E42">
      <w:pPr>
        <w:spacing w:before="240"/>
        <w:jc w:val="both"/>
        <w:rPr>
          <w:rFonts w:cstheme="minorHAnsi"/>
        </w:rPr>
      </w:pPr>
      <w:r w:rsidRPr="00883E42">
        <w:rPr>
          <w:rFonts w:cstheme="minorHAnsi"/>
        </w:rPr>
        <w:t xml:space="preserve">Nástroj pro propojení Evropy pro období 2021 – 2023 (CEF2) </w:t>
      </w:r>
      <w:r w:rsidR="00F409ED">
        <w:rPr>
          <w:rFonts w:cstheme="minorHAnsi"/>
        </w:rPr>
        <w:t>se</w:t>
      </w:r>
      <w:r w:rsidRPr="00883E42">
        <w:rPr>
          <w:rFonts w:cstheme="minorHAnsi"/>
        </w:rPr>
        <w:t xml:space="preserve"> zř</w:t>
      </w:r>
      <w:r w:rsidR="00F409ED">
        <w:rPr>
          <w:rFonts w:cstheme="minorHAnsi"/>
        </w:rPr>
        <w:t>i</w:t>
      </w:r>
      <w:r w:rsidRPr="00883E42">
        <w:rPr>
          <w:rFonts w:cstheme="minorHAnsi"/>
        </w:rPr>
        <w:t>z</w:t>
      </w:r>
      <w:r w:rsidR="00F409ED">
        <w:rPr>
          <w:rFonts w:cstheme="minorHAnsi"/>
        </w:rPr>
        <w:t>uje</w:t>
      </w:r>
      <w:r w:rsidRPr="00883E42">
        <w:rPr>
          <w:rFonts w:cstheme="minorHAnsi"/>
        </w:rPr>
        <w:t xml:space="preserve"> s cílem budování, rozvoje a modernizace transevropských sítí v oblasti dopravy, energ</w:t>
      </w:r>
      <w:r w:rsidR="0089793E">
        <w:rPr>
          <w:rFonts w:cstheme="minorHAnsi"/>
        </w:rPr>
        <w:t>etiky a digitálních technologií</w:t>
      </w:r>
      <w:r w:rsidRPr="00883E42">
        <w:rPr>
          <w:rFonts w:cstheme="minorHAnsi"/>
        </w:rPr>
        <w:t>, a to s přihlédnutím k dlouhodobým závazkům v oblasti dekarbonizace a s důrazem na součinnost mezi odvětvími. CEF</w:t>
      </w:r>
      <w:r w:rsidR="00F409ED">
        <w:rPr>
          <w:rFonts w:cstheme="minorHAnsi"/>
        </w:rPr>
        <w:t>2</w:t>
      </w:r>
      <w:r w:rsidRPr="00883E42">
        <w:rPr>
          <w:rFonts w:cstheme="minorHAnsi"/>
        </w:rPr>
        <w:t xml:space="preserve"> </w:t>
      </w:r>
      <w:r w:rsidR="00F409ED">
        <w:rPr>
          <w:rFonts w:cstheme="minorHAnsi"/>
        </w:rPr>
        <w:t>bude</w:t>
      </w:r>
      <w:r w:rsidRPr="00883E42">
        <w:rPr>
          <w:rFonts w:cstheme="minorHAnsi"/>
        </w:rPr>
        <w:t xml:space="preserve"> otevřen žadatelům z veřejného i soukromého sektoru.</w:t>
      </w:r>
    </w:p>
    <w:p w14:paraId="1A869BFF" w14:textId="77777777" w:rsidR="00D34E8A" w:rsidRDefault="0089793E" w:rsidP="00883E42">
      <w:pPr>
        <w:spacing w:before="240"/>
        <w:jc w:val="both"/>
        <w:rPr>
          <w:rFonts w:cstheme="minorHAnsi"/>
        </w:rPr>
      </w:pPr>
      <w:r>
        <w:rPr>
          <w:rFonts w:cstheme="minorHAnsi"/>
        </w:rPr>
        <w:t>Uvedené informace se týkají dopravní části CEF2.</w:t>
      </w:r>
    </w:p>
    <w:p w14:paraId="5002BED9" w14:textId="529ADFC0" w:rsidR="0089793E" w:rsidRPr="00D760A3" w:rsidRDefault="00E656C5" w:rsidP="00883E42">
      <w:pPr>
        <w:spacing w:before="240"/>
        <w:jc w:val="both"/>
        <w:rPr>
          <w:rFonts w:cstheme="minorHAnsi"/>
          <w:b/>
        </w:rPr>
      </w:pPr>
      <w:r w:rsidRPr="00D760A3">
        <w:rPr>
          <w:rFonts w:cstheme="minorHAnsi"/>
          <w:b/>
        </w:rPr>
        <w:t>Obsah:</w:t>
      </w:r>
    </w:p>
    <w:p w14:paraId="1460735C" w14:textId="77777777" w:rsidR="00E656C5" w:rsidRDefault="00E656C5" w:rsidP="00E656C5">
      <w:pPr>
        <w:pStyle w:val="Odstavecseseznamem"/>
        <w:numPr>
          <w:ilvl w:val="0"/>
          <w:numId w:val="14"/>
        </w:numPr>
        <w:ind w:left="714" w:hanging="357"/>
        <w:jc w:val="both"/>
        <w:rPr>
          <w:rFonts w:cstheme="minorHAnsi"/>
        </w:rPr>
      </w:pPr>
      <w:r>
        <w:rPr>
          <w:rFonts w:cstheme="minorHAnsi"/>
        </w:rPr>
        <w:t>legislativa</w:t>
      </w:r>
    </w:p>
    <w:p w14:paraId="533652CF" w14:textId="77777777" w:rsidR="00E656C5" w:rsidRDefault="00E656C5" w:rsidP="00E656C5">
      <w:pPr>
        <w:pStyle w:val="Odstavecseseznamem"/>
        <w:numPr>
          <w:ilvl w:val="0"/>
          <w:numId w:val="14"/>
        </w:numPr>
        <w:spacing w:before="240"/>
        <w:jc w:val="both"/>
        <w:rPr>
          <w:rFonts w:cstheme="minorHAnsi"/>
        </w:rPr>
      </w:pPr>
      <w:r>
        <w:rPr>
          <w:rFonts w:cstheme="minorHAnsi"/>
        </w:rPr>
        <w:t>rozdělení alokace</w:t>
      </w:r>
    </w:p>
    <w:p w14:paraId="6613A67D" w14:textId="77777777" w:rsidR="00E656C5" w:rsidRDefault="00E656C5" w:rsidP="00E656C5">
      <w:pPr>
        <w:pStyle w:val="Odstavecseseznamem"/>
        <w:numPr>
          <w:ilvl w:val="0"/>
          <w:numId w:val="14"/>
        </w:numPr>
        <w:spacing w:before="240"/>
        <w:jc w:val="both"/>
        <w:rPr>
          <w:rFonts w:cstheme="minorHAnsi"/>
        </w:rPr>
      </w:pPr>
      <w:r>
        <w:rPr>
          <w:rFonts w:cstheme="minorHAnsi"/>
        </w:rPr>
        <w:t>výzvy 2021 – 2023</w:t>
      </w:r>
    </w:p>
    <w:p w14:paraId="1AE6FAB4" w14:textId="77777777" w:rsidR="00E656C5" w:rsidRDefault="00E656C5" w:rsidP="00E656C5">
      <w:pPr>
        <w:pStyle w:val="Odstavecseseznamem"/>
        <w:numPr>
          <w:ilvl w:val="0"/>
          <w:numId w:val="14"/>
        </w:numPr>
        <w:spacing w:before="240"/>
        <w:jc w:val="both"/>
        <w:rPr>
          <w:rFonts w:cstheme="minorHAnsi"/>
        </w:rPr>
      </w:pPr>
      <w:r>
        <w:rPr>
          <w:rFonts w:cstheme="minorHAnsi"/>
        </w:rPr>
        <w:t>pravidla implementace projektů</w:t>
      </w:r>
    </w:p>
    <w:p w14:paraId="2A2C9772" w14:textId="77777777" w:rsidR="00E656C5" w:rsidRDefault="00E656C5" w:rsidP="00E656C5">
      <w:pPr>
        <w:pStyle w:val="Odstavecseseznamem"/>
        <w:numPr>
          <w:ilvl w:val="0"/>
          <w:numId w:val="14"/>
        </w:numPr>
        <w:spacing w:before="240"/>
        <w:jc w:val="both"/>
        <w:rPr>
          <w:rFonts w:cstheme="minorHAnsi"/>
        </w:rPr>
      </w:pPr>
      <w:r>
        <w:rPr>
          <w:rFonts w:cstheme="minorHAnsi"/>
        </w:rPr>
        <w:t>podmínky schválení projektů na národní úrovni</w:t>
      </w:r>
    </w:p>
    <w:p w14:paraId="0BBAB1E8" w14:textId="77777777" w:rsidR="00E656C5" w:rsidRDefault="00E656C5" w:rsidP="00E656C5">
      <w:pPr>
        <w:pStyle w:val="Odstavecseseznamem"/>
        <w:numPr>
          <w:ilvl w:val="0"/>
          <w:numId w:val="14"/>
        </w:numPr>
        <w:spacing w:before="240"/>
        <w:jc w:val="both"/>
        <w:rPr>
          <w:rFonts w:cstheme="minorHAnsi"/>
        </w:rPr>
      </w:pPr>
      <w:r>
        <w:rPr>
          <w:rFonts w:cstheme="minorHAnsi"/>
        </w:rPr>
        <w:t>další informace</w:t>
      </w:r>
    </w:p>
    <w:p w14:paraId="1447BB52" w14:textId="77777777" w:rsidR="00E656C5" w:rsidRPr="00E656C5" w:rsidRDefault="00E656C5" w:rsidP="00E656C5">
      <w:pPr>
        <w:pStyle w:val="Odstavecseseznamem"/>
        <w:numPr>
          <w:ilvl w:val="0"/>
          <w:numId w:val="14"/>
        </w:numPr>
        <w:pBdr>
          <w:bottom w:val="single" w:sz="4" w:space="1" w:color="auto"/>
        </w:pBdr>
        <w:spacing w:before="240"/>
        <w:jc w:val="both"/>
        <w:rPr>
          <w:rFonts w:cstheme="minorHAnsi"/>
        </w:rPr>
      </w:pPr>
      <w:r>
        <w:rPr>
          <w:rFonts w:cstheme="minorHAnsi"/>
        </w:rPr>
        <w:t>cíle a podporované aktivity</w:t>
      </w:r>
    </w:p>
    <w:p w14:paraId="1EE9E872" w14:textId="77777777" w:rsidR="00FF12B3" w:rsidRPr="00976215" w:rsidRDefault="00FF12B3" w:rsidP="00976215">
      <w:pPr>
        <w:pStyle w:val="Nadpis2"/>
      </w:pPr>
      <w:r w:rsidRPr="00976215">
        <w:t>Legislativa</w:t>
      </w:r>
    </w:p>
    <w:p w14:paraId="0E8724F9" w14:textId="2FB702A3" w:rsidR="00FF12B3" w:rsidRPr="00D760A3" w:rsidRDefault="00976215" w:rsidP="002F3B34">
      <w:pPr>
        <w:pStyle w:val="Odstavecseseznamem"/>
        <w:numPr>
          <w:ilvl w:val="0"/>
          <w:numId w:val="3"/>
        </w:numPr>
        <w:rPr>
          <w:rFonts w:cstheme="minorHAnsi"/>
          <w:b/>
        </w:rPr>
      </w:pPr>
      <w:r w:rsidRPr="00D760A3">
        <w:rPr>
          <w:rFonts w:cstheme="minorHAnsi"/>
          <w:b/>
        </w:rPr>
        <w:t>n</w:t>
      </w:r>
      <w:r w:rsidR="00FF12B3" w:rsidRPr="00D760A3">
        <w:rPr>
          <w:rFonts w:cstheme="minorHAnsi"/>
          <w:b/>
        </w:rPr>
        <w:t>ařízení CEF</w:t>
      </w:r>
      <w:r w:rsidR="00FE5879">
        <w:rPr>
          <w:rFonts w:cstheme="minorHAnsi"/>
          <w:b/>
        </w:rPr>
        <w:t>2</w:t>
      </w:r>
    </w:p>
    <w:p w14:paraId="71A229D7" w14:textId="77777777" w:rsidR="00E8649E" w:rsidRDefault="00FF12B3" w:rsidP="00E8649E">
      <w:pPr>
        <w:pStyle w:val="Odstavecseseznamem"/>
        <w:numPr>
          <w:ilvl w:val="1"/>
          <w:numId w:val="3"/>
        </w:numPr>
        <w:rPr>
          <w:rFonts w:cstheme="minorHAnsi"/>
        </w:rPr>
      </w:pPr>
      <w:r w:rsidRPr="008A41F1">
        <w:rPr>
          <w:rFonts w:cstheme="minorHAnsi"/>
        </w:rPr>
        <w:t>dosažena dohoda</w:t>
      </w:r>
      <w:r w:rsidR="00E8649E">
        <w:rPr>
          <w:rFonts w:cstheme="minorHAnsi"/>
        </w:rPr>
        <w:t xml:space="preserve"> Evropské rady, Evropského parlamentu a Evropské komise</w:t>
      </w:r>
    </w:p>
    <w:p w14:paraId="752BFE96" w14:textId="77777777" w:rsidR="00FF12B3" w:rsidRPr="00976215" w:rsidRDefault="00E8649E" w:rsidP="00E8649E">
      <w:pPr>
        <w:pStyle w:val="Odstavecseseznamem"/>
        <w:numPr>
          <w:ilvl w:val="1"/>
          <w:numId w:val="3"/>
        </w:numPr>
        <w:rPr>
          <w:rFonts w:cstheme="minorHAnsi"/>
        </w:rPr>
      </w:pPr>
      <w:r w:rsidRPr="00E8649E">
        <w:rPr>
          <w:rFonts w:cstheme="minorHAnsi"/>
        </w:rPr>
        <w:t>nařízení právě prochází právně-</w:t>
      </w:r>
      <w:r w:rsidRPr="00976215">
        <w:rPr>
          <w:rFonts w:cstheme="minorHAnsi"/>
        </w:rPr>
        <w:t>lingvistickou revizí</w:t>
      </w:r>
    </w:p>
    <w:p w14:paraId="33D2A678" w14:textId="77777777" w:rsidR="00FF12B3" w:rsidRPr="00976215" w:rsidRDefault="00FF12B3" w:rsidP="002F3B34">
      <w:pPr>
        <w:pStyle w:val="Odstavecseseznamem"/>
        <w:numPr>
          <w:ilvl w:val="1"/>
          <w:numId w:val="3"/>
        </w:numPr>
        <w:rPr>
          <w:rFonts w:cstheme="minorHAnsi"/>
        </w:rPr>
      </w:pPr>
      <w:r w:rsidRPr="00976215">
        <w:rPr>
          <w:rFonts w:cstheme="minorHAnsi"/>
        </w:rPr>
        <w:t xml:space="preserve">finalizace legislativního procesu – </w:t>
      </w:r>
      <w:r w:rsidRPr="00262E12">
        <w:rPr>
          <w:rFonts w:cstheme="minorHAnsi"/>
          <w:color w:val="FF0000"/>
        </w:rPr>
        <w:t>květen 2021?</w:t>
      </w:r>
    </w:p>
    <w:p w14:paraId="33492BAD" w14:textId="77777777" w:rsidR="00FF12B3" w:rsidRPr="00976215" w:rsidRDefault="00976215" w:rsidP="002F3B34">
      <w:pPr>
        <w:pStyle w:val="Odstavecseseznamem"/>
        <w:numPr>
          <w:ilvl w:val="0"/>
          <w:numId w:val="3"/>
        </w:numPr>
        <w:rPr>
          <w:rFonts w:cstheme="minorHAnsi"/>
        </w:rPr>
      </w:pPr>
      <w:r w:rsidRPr="00D760A3">
        <w:rPr>
          <w:rFonts w:cstheme="minorHAnsi"/>
          <w:b/>
        </w:rPr>
        <w:t>v</w:t>
      </w:r>
      <w:r w:rsidR="00FF12B3" w:rsidRPr="00D760A3">
        <w:rPr>
          <w:rFonts w:cstheme="minorHAnsi"/>
          <w:b/>
        </w:rPr>
        <w:t xml:space="preserve">íceletý pracovní program (MAP) </w:t>
      </w:r>
      <w:r w:rsidR="00E8649E" w:rsidRPr="00D760A3">
        <w:rPr>
          <w:rFonts w:cstheme="minorHAnsi"/>
          <w:b/>
        </w:rPr>
        <w:t>2021 – 2023</w:t>
      </w:r>
      <w:r w:rsidR="00E8649E" w:rsidRPr="00976215">
        <w:rPr>
          <w:rFonts w:cstheme="minorHAnsi"/>
        </w:rPr>
        <w:t xml:space="preserve"> </w:t>
      </w:r>
      <w:r w:rsidR="00FF12B3" w:rsidRPr="00976215">
        <w:rPr>
          <w:rFonts w:cstheme="minorHAnsi"/>
        </w:rPr>
        <w:t>– rámec pro vyhlašování výzev</w:t>
      </w:r>
    </w:p>
    <w:p w14:paraId="191D5CC6" w14:textId="77777777" w:rsidR="00FF12B3" w:rsidRPr="008A41F1" w:rsidRDefault="00FF12B3" w:rsidP="002F3B34">
      <w:pPr>
        <w:pStyle w:val="Odstavecseseznamem"/>
        <w:numPr>
          <w:ilvl w:val="1"/>
          <w:numId w:val="3"/>
        </w:numPr>
        <w:rPr>
          <w:rFonts w:cstheme="minorHAnsi"/>
          <w:color w:val="FF0000"/>
        </w:rPr>
      </w:pPr>
      <w:r w:rsidRPr="00976215">
        <w:rPr>
          <w:rFonts w:cstheme="minorHAnsi"/>
        </w:rPr>
        <w:t xml:space="preserve">probíhá neformální </w:t>
      </w:r>
      <w:r w:rsidR="002F3B34" w:rsidRPr="00976215">
        <w:rPr>
          <w:rFonts w:cstheme="minorHAnsi"/>
        </w:rPr>
        <w:t>konzultace</w:t>
      </w:r>
      <w:r w:rsidR="00E8649E" w:rsidRPr="00976215">
        <w:rPr>
          <w:rFonts w:cstheme="minorHAnsi"/>
        </w:rPr>
        <w:t xml:space="preserve"> Evropské komise </w:t>
      </w:r>
      <w:r w:rsidR="00E8649E">
        <w:rPr>
          <w:rFonts w:cstheme="minorHAnsi"/>
        </w:rPr>
        <w:t>a členských států</w:t>
      </w:r>
    </w:p>
    <w:p w14:paraId="167CD201" w14:textId="1AECE5DC" w:rsidR="00FF12B3" w:rsidRPr="008A41F1" w:rsidRDefault="00FF12B3" w:rsidP="002F3B34">
      <w:pPr>
        <w:pStyle w:val="Odstavecseseznamem"/>
        <w:numPr>
          <w:ilvl w:val="1"/>
          <w:numId w:val="3"/>
        </w:numPr>
        <w:rPr>
          <w:rFonts w:cstheme="minorHAnsi"/>
        </w:rPr>
      </w:pPr>
      <w:r w:rsidRPr="008A41F1">
        <w:rPr>
          <w:rFonts w:cstheme="minorHAnsi"/>
        </w:rPr>
        <w:t xml:space="preserve">finalizace </w:t>
      </w:r>
      <w:r w:rsidR="00976215">
        <w:rPr>
          <w:rFonts w:cstheme="minorHAnsi"/>
        </w:rPr>
        <w:t xml:space="preserve">a schválení </w:t>
      </w:r>
      <w:r w:rsidRPr="008A41F1">
        <w:rPr>
          <w:rFonts w:cstheme="minorHAnsi"/>
        </w:rPr>
        <w:t>až po formálním schválení a vyhlášení nařízení</w:t>
      </w:r>
      <w:r w:rsidR="00982AE4" w:rsidRPr="008A41F1">
        <w:rPr>
          <w:rFonts w:cstheme="minorHAnsi"/>
        </w:rPr>
        <w:t xml:space="preserve"> CEF</w:t>
      </w:r>
      <w:r w:rsidR="00FE5879">
        <w:rPr>
          <w:rFonts w:cstheme="minorHAnsi"/>
        </w:rPr>
        <w:t>2</w:t>
      </w:r>
      <w:r w:rsidR="00262E12">
        <w:rPr>
          <w:rFonts w:cstheme="minorHAnsi"/>
        </w:rPr>
        <w:t xml:space="preserve"> – </w:t>
      </w:r>
      <w:r w:rsidR="00262E12" w:rsidRPr="00262E12">
        <w:rPr>
          <w:rFonts w:cstheme="minorHAnsi"/>
          <w:color w:val="FF0000"/>
        </w:rPr>
        <w:t>květen / červen 2021?</w:t>
      </w:r>
    </w:p>
    <w:p w14:paraId="4D911B12" w14:textId="77777777" w:rsidR="00E656C5" w:rsidRPr="00E656C5" w:rsidRDefault="0089793E" w:rsidP="00976215">
      <w:pPr>
        <w:pStyle w:val="Nadpis2"/>
      </w:pPr>
      <w:r>
        <w:t>Rozdělení</w:t>
      </w:r>
      <w:r w:rsidR="00E656C5">
        <w:t xml:space="preserve"> alokace</w:t>
      </w:r>
      <w:r>
        <w:t xml:space="preserve"> CEF2</w:t>
      </w:r>
    </w:p>
    <w:p w14:paraId="52C86FE8" w14:textId="4627AA09" w:rsidR="00883E42" w:rsidRPr="00D34E8A" w:rsidRDefault="00B74618" w:rsidP="00D34E8A">
      <w:pPr>
        <w:pStyle w:val="Odstavecseseznamem"/>
        <w:numPr>
          <w:ilvl w:val="0"/>
          <w:numId w:val="3"/>
        </w:numPr>
        <w:rPr>
          <w:rFonts w:cstheme="minorHAnsi"/>
          <w:b/>
        </w:rPr>
      </w:pPr>
      <w:r w:rsidRPr="00D760A3">
        <w:rPr>
          <w:rFonts w:cstheme="minorHAnsi"/>
          <w:b/>
        </w:rPr>
        <w:t>obecná obálka</w:t>
      </w:r>
      <w:r w:rsidR="00D34E8A" w:rsidRPr="00D760A3">
        <w:rPr>
          <w:rFonts w:cstheme="minorHAnsi"/>
          <w:b/>
        </w:rPr>
        <w:tab/>
      </w:r>
      <w:r w:rsidR="00D34E8A">
        <w:rPr>
          <w:rFonts w:cstheme="minorHAnsi"/>
        </w:rPr>
        <w:tab/>
      </w:r>
      <w:r w:rsidR="00D34E8A">
        <w:rPr>
          <w:rFonts w:cstheme="minorHAnsi"/>
        </w:rPr>
        <w:tab/>
      </w:r>
      <w:r w:rsidR="00D34E8A">
        <w:rPr>
          <w:rFonts w:cstheme="minorHAnsi"/>
        </w:rPr>
        <w:tab/>
      </w:r>
      <w:r w:rsidR="00D34E8A">
        <w:rPr>
          <w:rFonts w:cstheme="minorHAnsi"/>
        </w:rPr>
        <w:tab/>
      </w:r>
      <w:r w:rsidR="00D34E8A">
        <w:rPr>
          <w:rFonts w:cstheme="minorHAnsi"/>
        </w:rPr>
        <w:tab/>
      </w:r>
      <w:r w:rsidR="00D34E8A">
        <w:rPr>
          <w:rFonts w:cstheme="minorHAnsi"/>
        </w:rPr>
        <w:tab/>
      </w:r>
      <w:r w:rsidR="00D34E8A">
        <w:rPr>
          <w:rFonts w:cstheme="minorHAnsi"/>
        </w:rPr>
        <w:tab/>
        <w:t xml:space="preserve">          </w:t>
      </w:r>
      <w:r w:rsidR="00D34E8A" w:rsidRPr="00D34E8A">
        <w:rPr>
          <w:rFonts w:cstheme="minorHAnsi"/>
          <w:b/>
        </w:rPr>
        <w:t>12 830 mil. EUR</w:t>
      </w:r>
    </w:p>
    <w:p w14:paraId="6E7A0679" w14:textId="77777777" w:rsidR="00B74618" w:rsidRPr="0089793E" w:rsidRDefault="00883E42" w:rsidP="00883E42">
      <w:pPr>
        <w:pStyle w:val="Odstavecseseznamem"/>
        <w:numPr>
          <w:ilvl w:val="1"/>
          <w:numId w:val="3"/>
        </w:numPr>
        <w:rPr>
          <w:rFonts w:cstheme="minorHAnsi"/>
        </w:rPr>
      </w:pPr>
      <w:r w:rsidRPr="0089793E">
        <w:rPr>
          <w:rFonts w:cstheme="minorHAnsi"/>
        </w:rPr>
        <w:t>soutěž, otevřena pro všechny členské státy EU</w:t>
      </w:r>
    </w:p>
    <w:p w14:paraId="5A573F13" w14:textId="77777777" w:rsidR="0089793E" w:rsidRPr="0089793E" w:rsidRDefault="00883E42" w:rsidP="0089793E">
      <w:pPr>
        <w:pStyle w:val="Odstavecseseznamem"/>
        <w:numPr>
          <w:ilvl w:val="1"/>
          <w:numId w:val="3"/>
        </w:numPr>
        <w:rPr>
          <w:rFonts w:cstheme="minorHAnsi"/>
        </w:rPr>
      </w:pPr>
      <w:r w:rsidRPr="0089793E">
        <w:rPr>
          <w:rFonts w:cstheme="minorHAnsi"/>
        </w:rPr>
        <w:t>nižší míry spolufinancování (typicky studie 50 %, práce 30 %)</w:t>
      </w:r>
    </w:p>
    <w:p w14:paraId="601BA420" w14:textId="56AA04BA" w:rsidR="0089793E" w:rsidRDefault="0089793E" w:rsidP="00D34E8A">
      <w:pPr>
        <w:pStyle w:val="Odstavecseseznamem"/>
        <w:numPr>
          <w:ilvl w:val="1"/>
          <w:numId w:val="3"/>
        </w:numPr>
        <w:rPr>
          <w:rFonts w:cstheme="minorHAnsi"/>
        </w:rPr>
      </w:pPr>
      <w:r w:rsidRPr="0089793E">
        <w:rPr>
          <w:rFonts w:cstheme="minorHAnsi"/>
        </w:rPr>
        <w:t>část alokace vyčleněna na podporu přeshraniční spojení mezi státy způsobilými pro čerpání z Fondu soud</w:t>
      </w:r>
      <w:r>
        <w:rPr>
          <w:rFonts w:cstheme="minorHAnsi"/>
        </w:rPr>
        <w:t>r</w:t>
      </w:r>
      <w:r w:rsidRPr="0089793E">
        <w:rPr>
          <w:rFonts w:cstheme="minorHAnsi"/>
        </w:rPr>
        <w:t xml:space="preserve">žnosti </w:t>
      </w:r>
      <w:r>
        <w:rPr>
          <w:rFonts w:cstheme="minorHAnsi"/>
        </w:rPr>
        <w:t>(míra spolufinancování až 85 %)</w:t>
      </w:r>
      <w:r w:rsidR="00D34E8A">
        <w:rPr>
          <w:rFonts w:cstheme="minorHAnsi"/>
        </w:rPr>
        <w:tab/>
        <w:t xml:space="preserve">         </w:t>
      </w:r>
      <w:r w:rsidR="00D34E8A" w:rsidRPr="00D34E8A">
        <w:rPr>
          <w:rFonts w:cstheme="minorHAnsi"/>
          <w:b/>
        </w:rPr>
        <w:t>1</w:t>
      </w:r>
      <w:r w:rsidR="00D34E8A">
        <w:rPr>
          <w:rFonts w:cstheme="minorHAnsi"/>
          <w:b/>
        </w:rPr>
        <w:t xml:space="preserve"> </w:t>
      </w:r>
      <w:r w:rsidR="00D34E8A" w:rsidRPr="00D34E8A">
        <w:rPr>
          <w:rFonts w:cstheme="minorHAnsi"/>
          <w:b/>
        </w:rPr>
        <w:t>559,8 mil. EUR</w:t>
      </w:r>
    </w:p>
    <w:p w14:paraId="1F7452DE" w14:textId="77777777" w:rsidR="00E656C5" w:rsidRPr="0089793E" w:rsidRDefault="00E656C5" w:rsidP="0089793E">
      <w:pPr>
        <w:pStyle w:val="Odstavecseseznamem"/>
        <w:numPr>
          <w:ilvl w:val="1"/>
          <w:numId w:val="3"/>
        </w:numPr>
        <w:rPr>
          <w:rFonts w:cstheme="minorHAnsi"/>
        </w:rPr>
      </w:pPr>
      <w:r>
        <w:rPr>
          <w:rFonts w:cstheme="minorHAnsi"/>
        </w:rPr>
        <w:t>rozdělení alokace mezi cíle: 60 % Dokončení TEN-T / 40 % Modernizace TEN-T</w:t>
      </w:r>
    </w:p>
    <w:p w14:paraId="4C9BD00F" w14:textId="70F4F047" w:rsidR="0089793E" w:rsidRDefault="00883E42" w:rsidP="00D34E8A">
      <w:pPr>
        <w:pStyle w:val="Odstavecseseznamem"/>
        <w:numPr>
          <w:ilvl w:val="0"/>
          <w:numId w:val="3"/>
        </w:numPr>
        <w:rPr>
          <w:rFonts w:cstheme="minorHAnsi"/>
        </w:rPr>
      </w:pPr>
      <w:r w:rsidRPr="00D760A3">
        <w:rPr>
          <w:rFonts w:cstheme="minorHAnsi"/>
          <w:b/>
        </w:rPr>
        <w:t>kohezní obálka</w:t>
      </w:r>
      <w:r w:rsidR="00D34E8A" w:rsidRPr="00D760A3">
        <w:rPr>
          <w:rFonts w:cstheme="minorHAnsi"/>
          <w:b/>
        </w:rPr>
        <w:tab/>
      </w:r>
      <w:r w:rsidR="00D34E8A">
        <w:rPr>
          <w:rFonts w:cstheme="minorHAnsi"/>
        </w:rPr>
        <w:tab/>
      </w:r>
      <w:r w:rsidR="00D34E8A">
        <w:rPr>
          <w:rFonts w:cstheme="minorHAnsi"/>
        </w:rPr>
        <w:tab/>
      </w:r>
      <w:r w:rsidR="00D34E8A">
        <w:rPr>
          <w:rFonts w:cstheme="minorHAnsi"/>
        </w:rPr>
        <w:tab/>
      </w:r>
      <w:r w:rsidR="00D34E8A">
        <w:rPr>
          <w:rFonts w:cstheme="minorHAnsi"/>
        </w:rPr>
        <w:tab/>
      </w:r>
      <w:r w:rsidR="00D34E8A">
        <w:rPr>
          <w:rFonts w:cstheme="minorHAnsi"/>
        </w:rPr>
        <w:tab/>
      </w:r>
      <w:r w:rsidR="00D34E8A">
        <w:rPr>
          <w:rFonts w:cstheme="minorHAnsi"/>
        </w:rPr>
        <w:tab/>
      </w:r>
      <w:r w:rsidR="00D34E8A">
        <w:rPr>
          <w:rFonts w:cstheme="minorHAnsi"/>
        </w:rPr>
        <w:tab/>
        <w:t xml:space="preserve">          </w:t>
      </w:r>
      <w:r w:rsidR="00D34E8A" w:rsidRPr="00D34E8A">
        <w:rPr>
          <w:rFonts w:cstheme="minorHAnsi"/>
          <w:b/>
        </w:rPr>
        <w:t>11 286 mil. EUR</w:t>
      </w:r>
    </w:p>
    <w:p w14:paraId="1089BF3F" w14:textId="77777777" w:rsidR="00883E42" w:rsidRDefault="00883E42" w:rsidP="0089793E">
      <w:pPr>
        <w:pStyle w:val="Odstavecseseznamem"/>
        <w:numPr>
          <w:ilvl w:val="1"/>
          <w:numId w:val="3"/>
        </w:numPr>
        <w:rPr>
          <w:rFonts w:cstheme="minorHAnsi"/>
        </w:rPr>
      </w:pPr>
      <w:r w:rsidRPr="0089793E">
        <w:rPr>
          <w:rFonts w:cstheme="minorHAnsi"/>
        </w:rPr>
        <w:t xml:space="preserve">prostředky převedené do CEF2 z Fondu </w:t>
      </w:r>
      <w:r w:rsidR="0089793E">
        <w:rPr>
          <w:rFonts w:cstheme="minorHAnsi"/>
        </w:rPr>
        <w:t>soudržnosti, pouze pro státy</w:t>
      </w:r>
      <w:r w:rsidR="0089793E" w:rsidRPr="0089793E">
        <w:rPr>
          <w:rFonts w:cstheme="minorHAnsi"/>
        </w:rPr>
        <w:t xml:space="preserve"> způsobil</w:t>
      </w:r>
      <w:r w:rsidR="0089793E">
        <w:rPr>
          <w:rFonts w:cstheme="minorHAnsi"/>
        </w:rPr>
        <w:t>é</w:t>
      </w:r>
      <w:r w:rsidR="0089793E" w:rsidRPr="0089793E">
        <w:rPr>
          <w:rFonts w:cstheme="minorHAnsi"/>
        </w:rPr>
        <w:t xml:space="preserve"> pro čerpání z Fondu soud</w:t>
      </w:r>
      <w:r w:rsidR="0089793E">
        <w:rPr>
          <w:rFonts w:cstheme="minorHAnsi"/>
        </w:rPr>
        <w:t>r</w:t>
      </w:r>
      <w:r w:rsidR="0089793E" w:rsidRPr="0089793E">
        <w:rPr>
          <w:rFonts w:cstheme="minorHAnsi"/>
        </w:rPr>
        <w:t>žnosti</w:t>
      </w:r>
    </w:p>
    <w:p w14:paraId="0F7A87AA" w14:textId="77777777" w:rsidR="0089793E" w:rsidRDefault="0089793E" w:rsidP="0089793E">
      <w:pPr>
        <w:pStyle w:val="Odstavecseseznamem"/>
        <w:numPr>
          <w:ilvl w:val="1"/>
          <w:numId w:val="3"/>
        </w:numPr>
        <w:rPr>
          <w:rFonts w:cstheme="minorHAnsi"/>
        </w:rPr>
      </w:pPr>
      <w:r>
        <w:rPr>
          <w:rFonts w:cstheme="minorHAnsi"/>
        </w:rPr>
        <w:t>míra spolufinancování až 85 %</w:t>
      </w:r>
    </w:p>
    <w:p w14:paraId="6AB34BF0" w14:textId="77777777" w:rsidR="00E656C5" w:rsidRPr="0089793E" w:rsidRDefault="00E656C5" w:rsidP="00E656C5">
      <w:pPr>
        <w:pStyle w:val="Odstavecseseznamem"/>
        <w:numPr>
          <w:ilvl w:val="1"/>
          <w:numId w:val="3"/>
        </w:numPr>
        <w:rPr>
          <w:rFonts w:cstheme="minorHAnsi"/>
        </w:rPr>
      </w:pPr>
      <w:r>
        <w:rPr>
          <w:rFonts w:cstheme="minorHAnsi"/>
        </w:rPr>
        <w:t>rozdělení alokace mezi cíle: 85 % Dokončení TEN-T / 15 % Modernizace TEN-T</w:t>
      </w:r>
    </w:p>
    <w:p w14:paraId="7B752574" w14:textId="0773327D" w:rsidR="0089793E" w:rsidRPr="0089793E" w:rsidRDefault="0089793E" w:rsidP="00D34E8A">
      <w:pPr>
        <w:pStyle w:val="Odstavecseseznamem"/>
        <w:numPr>
          <w:ilvl w:val="1"/>
          <w:numId w:val="3"/>
        </w:numPr>
        <w:rPr>
          <w:rFonts w:cstheme="minorHAnsi"/>
        </w:rPr>
      </w:pPr>
      <w:r>
        <w:rPr>
          <w:rFonts w:cstheme="minorHAnsi"/>
        </w:rPr>
        <w:t>část (30 %) soutěž</w:t>
      </w:r>
      <w:r w:rsidR="00D34E8A">
        <w:rPr>
          <w:rFonts w:cstheme="minorHAnsi"/>
        </w:rPr>
        <w:tab/>
      </w:r>
      <w:r w:rsidR="00D34E8A">
        <w:rPr>
          <w:rFonts w:cstheme="minorHAnsi"/>
        </w:rPr>
        <w:tab/>
      </w:r>
      <w:r w:rsidR="00D34E8A">
        <w:rPr>
          <w:rFonts w:cstheme="minorHAnsi"/>
        </w:rPr>
        <w:tab/>
      </w:r>
      <w:r w:rsidR="00D34E8A">
        <w:rPr>
          <w:rFonts w:cstheme="minorHAnsi"/>
        </w:rPr>
        <w:tab/>
      </w:r>
      <w:r w:rsidR="00D34E8A">
        <w:rPr>
          <w:rFonts w:cstheme="minorHAnsi"/>
        </w:rPr>
        <w:tab/>
      </w:r>
      <w:r w:rsidR="00D34E8A">
        <w:rPr>
          <w:rFonts w:cstheme="minorHAnsi"/>
        </w:rPr>
        <w:tab/>
        <w:t xml:space="preserve">         </w:t>
      </w:r>
      <w:r w:rsidR="00D34E8A" w:rsidRPr="00D34E8A">
        <w:rPr>
          <w:rFonts w:cstheme="minorHAnsi"/>
          <w:b/>
        </w:rPr>
        <w:t>3</w:t>
      </w:r>
      <w:r w:rsidR="00D34E8A">
        <w:rPr>
          <w:rFonts w:cstheme="minorHAnsi"/>
          <w:b/>
        </w:rPr>
        <w:t xml:space="preserve"> </w:t>
      </w:r>
      <w:r w:rsidR="00D34E8A" w:rsidRPr="00D34E8A">
        <w:rPr>
          <w:rFonts w:cstheme="minorHAnsi"/>
          <w:b/>
        </w:rPr>
        <w:t>385,8 mil. EUR</w:t>
      </w:r>
    </w:p>
    <w:p w14:paraId="6B6C6614" w14:textId="298C3981" w:rsidR="00D34E8A" w:rsidRPr="00D34E8A" w:rsidRDefault="0089793E" w:rsidP="0021024D">
      <w:pPr>
        <w:pStyle w:val="Odstavecseseznamem"/>
        <w:numPr>
          <w:ilvl w:val="1"/>
          <w:numId w:val="3"/>
        </w:numPr>
        <w:rPr>
          <w:rFonts w:cstheme="minorHAnsi"/>
        </w:rPr>
      </w:pPr>
      <w:r w:rsidRPr="00D34E8A">
        <w:rPr>
          <w:rFonts w:cstheme="minorHAnsi"/>
        </w:rPr>
        <w:t>část (70 %) národní obálky</w:t>
      </w:r>
      <w:r w:rsidR="00B74618" w:rsidRPr="00D34E8A">
        <w:rPr>
          <w:rFonts w:cstheme="minorHAnsi"/>
        </w:rPr>
        <w:t xml:space="preserve"> </w:t>
      </w:r>
      <w:r w:rsidRPr="00D34E8A">
        <w:rPr>
          <w:rFonts w:cstheme="minorHAnsi"/>
        </w:rPr>
        <w:t xml:space="preserve">- </w:t>
      </w:r>
      <w:r w:rsidR="00B74618" w:rsidRPr="00D34E8A">
        <w:rPr>
          <w:rFonts w:cstheme="minorHAnsi"/>
        </w:rPr>
        <w:t>prostředky výhradně pro příjemce</w:t>
      </w:r>
      <w:r w:rsidRPr="00D34E8A">
        <w:rPr>
          <w:rFonts w:cstheme="minorHAnsi"/>
        </w:rPr>
        <w:t xml:space="preserve"> z jednotlivých členských států</w:t>
      </w:r>
      <w:r w:rsidR="00D34E8A" w:rsidRPr="00D34E8A">
        <w:rPr>
          <w:rFonts w:cstheme="minorHAnsi"/>
        </w:rPr>
        <w:tab/>
        <w:t xml:space="preserve"> / z toho národní obálka ČR</w:t>
      </w:r>
      <w:r w:rsidR="00D34E8A" w:rsidRPr="00D34E8A">
        <w:rPr>
          <w:rFonts w:cstheme="minorHAnsi"/>
        </w:rPr>
        <w:tab/>
      </w:r>
      <w:r w:rsidR="00D34E8A">
        <w:rPr>
          <w:rFonts w:cstheme="minorHAnsi"/>
        </w:rPr>
        <w:t xml:space="preserve">    </w:t>
      </w:r>
      <w:r w:rsidR="00D34E8A" w:rsidRPr="00D34E8A">
        <w:rPr>
          <w:rFonts w:cstheme="minorHAnsi"/>
          <w:b/>
        </w:rPr>
        <w:t>7</w:t>
      </w:r>
      <w:r w:rsidR="00D34E8A">
        <w:rPr>
          <w:rFonts w:cstheme="minorHAnsi"/>
          <w:b/>
        </w:rPr>
        <w:t xml:space="preserve"> </w:t>
      </w:r>
      <w:r w:rsidR="00D34E8A" w:rsidRPr="00D34E8A">
        <w:rPr>
          <w:rFonts w:cstheme="minorHAnsi"/>
          <w:b/>
        </w:rPr>
        <w:t>900,2 mil. EUR / 1 373,4 mil. EUR</w:t>
      </w:r>
    </w:p>
    <w:p w14:paraId="7C769A19" w14:textId="77777777" w:rsidR="00E656C5" w:rsidRPr="00D760A3" w:rsidRDefault="00E656C5" w:rsidP="00E656C5">
      <w:pPr>
        <w:pStyle w:val="Odstavecseseznamem"/>
        <w:numPr>
          <w:ilvl w:val="0"/>
          <w:numId w:val="3"/>
        </w:numPr>
        <w:rPr>
          <w:rFonts w:cstheme="minorHAnsi"/>
          <w:b/>
        </w:rPr>
      </w:pPr>
      <w:r w:rsidRPr="00D760A3">
        <w:rPr>
          <w:rFonts w:cstheme="minorHAnsi"/>
          <w:b/>
        </w:rPr>
        <w:t>vojenská mobilita</w:t>
      </w:r>
    </w:p>
    <w:p w14:paraId="6D029DBA" w14:textId="77777777" w:rsidR="00E656C5" w:rsidRDefault="00E656C5" w:rsidP="00E656C5">
      <w:pPr>
        <w:pStyle w:val="Odstavecseseznamem"/>
        <w:numPr>
          <w:ilvl w:val="1"/>
          <w:numId w:val="3"/>
        </w:numPr>
        <w:rPr>
          <w:rFonts w:cstheme="minorHAnsi"/>
        </w:rPr>
      </w:pPr>
      <w:r w:rsidRPr="0089793E">
        <w:rPr>
          <w:rFonts w:cstheme="minorHAnsi"/>
        </w:rPr>
        <w:t>soutěž, otevřena pro všechny členské státy EU</w:t>
      </w:r>
    </w:p>
    <w:p w14:paraId="1869D119" w14:textId="77777777" w:rsidR="00E656C5" w:rsidRPr="00E656C5" w:rsidRDefault="00E656C5" w:rsidP="00E656C5">
      <w:pPr>
        <w:pStyle w:val="Odstavecseseznamem"/>
        <w:numPr>
          <w:ilvl w:val="1"/>
          <w:numId w:val="3"/>
        </w:numPr>
        <w:rPr>
          <w:rFonts w:cstheme="minorHAnsi"/>
        </w:rPr>
      </w:pPr>
      <w:r>
        <w:rPr>
          <w:rFonts w:cstheme="minorHAnsi"/>
        </w:rPr>
        <w:t>míra spolufinancování 50 %</w:t>
      </w:r>
    </w:p>
    <w:p w14:paraId="2E876E8B" w14:textId="77777777" w:rsidR="00FF12B3" w:rsidRPr="008A41F1" w:rsidRDefault="00FF12B3" w:rsidP="00976215">
      <w:pPr>
        <w:pStyle w:val="Nadpis2"/>
      </w:pPr>
      <w:r w:rsidRPr="008A41F1">
        <w:lastRenderedPageBreak/>
        <w:t>Výzvy</w:t>
      </w:r>
      <w:r w:rsidR="00883E42">
        <w:t xml:space="preserve"> 2021 - 2023</w:t>
      </w:r>
    </w:p>
    <w:p w14:paraId="1CA8A8C2" w14:textId="77777777" w:rsidR="00BD4BB9" w:rsidRDefault="00BD4BB9" w:rsidP="00FF12B3">
      <w:pPr>
        <w:pStyle w:val="Odstavecseseznamem"/>
        <w:numPr>
          <w:ilvl w:val="0"/>
          <w:numId w:val="3"/>
        </w:numPr>
        <w:rPr>
          <w:rFonts w:cstheme="minorHAnsi"/>
        </w:rPr>
      </w:pPr>
      <w:r>
        <w:rPr>
          <w:rFonts w:cstheme="minorHAnsi"/>
        </w:rPr>
        <w:t>podporované aktivity – viz níže</w:t>
      </w:r>
    </w:p>
    <w:p w14:paraId="0D5EE14A" w14:textId="0F68DBEF" w:rsidR="007A1534" w:rsidRPr="008A41F1" w:rsidRDefault="00E8649E" w:rsidP="00FF12B3">
      <w:pPr>
        <w:pStyle w:val="Odstavecseseznamem"/>
        <w:numPr>
          <w:ilvl w:val="0"/>
          <w:numId w:val="3"/>
        </w:numPr>
        <w:rPr>
          <w:rFonts w:cstheme="minorHAnsi"/>
        </w:rPr>
      </w:pPr>
      <w:r w:rsidRPr="00D760A3">
        <w:rPr>
          <w:rFonts w:cstheme="minorHAnsi"/>
          <w:b/>
        </w:rPr>
        <w:t>2021 – 2023</w:t>
      </w:r>
      <w:r w:rsidR="00D760A3" w:rsidRPr="00D760A3">
        <w:rPr>
          <w:rFonts w:cstheme="minorHAnsi"/>
          <w:b/>
        </w:rPr>
        <w:t>:</w:t>
      </w:r>
      <w:r w:rsidRPr="00D760A3">
        <w:rPr>
          <w:rFonts w:cstheme="minorHAnsi"/>
          <w:b/>
        </w:rPr>
        <w:t xml:space="preserve"> </w:t>
      </w:r>
      <w:r w:rsidR="00FF12B3" w:rsidRPr="00D760A3">
        <w:rPr>
          <w:rFonts w:cstheme="minorHAnsi"/>
          <w:b/>
        </w:rPr>
        <w:t>v každém roce jedna výzva</w:t>
      </w:r>
      <w:r w:rsidRPr="00D760A3">
        <w:rPr>
          <w:rFonts w:cstheme="minorHAnsi"/>
          <w:b/>
        </w:rPr>
        <w:t xml:space="preserve"> zahrnující všechny aktivity</w:t>
      </w:r>
      <w:r w:rsidR="007A1534" w:rsidRPr="00D760A3">
        <w:rPr>
          <w:rFonts w:cstheme="minorHAnsi"/>
          <w:b/>
        </w:rPr>
        <w:t xml:space="preserve"> </w:t>
      </w:r>
      <w:r w:rsidR="007A1534" w:rsidRPr="008A41F1">
        <w:rPr>
          <w:rFonts w:cstheme="minorHAnsi"/>
        </w:rPr>
        <w:t>s výjimkami:</w:t>
      </w:r>
    </w:p>
    <w:p w14:paraId="0BF579F3" w14:textId="77777777" w:rsidR="00FF12B3" w:rsidRPr="008A41F1" w:rsidRDefault="007A1534" w:rsidP="007A1534">
      <w:pPr>
        <w:pStyle w:val="Odstavecseseznamem"/>
        <w:numPr>
          <w:ilvl w:val="1"/>
          <w:numId w:val="3"/>
        </w:numPr>
        <w:rPr>
          <w:rFonts w:cstheme="minorHAnsi"/>
        </w:rPr>
      </w:pPr>
      <w:r w:rsidRPr="008A41F1">
        <w:rPr>
          <w:rFonts w:cstheme="minorHAnsi"/>
        </w:rPr>
        <w:t>alternativní paliva – průběžná výzva s koly pro podání projektů 4 – 6 měsíců</w:t>
      </w:r>
    </w:p>
    <w:p w14:paraId="63541D3E" w14:textId="77777777" w:rsidR="007A1534" w:rsidRPr="00976215" w:rsidRDefault="00E8649E" w:rsidP="007A1534">
      <w:pPr>
        <w:pStyle w:val="Odstavecseseznamem"/>
        <w:numPr>
          <w:ilvl w:val="1"/>
          <w:numId w:val="3"/>
        </w:numPr>
        <w:rPr>
          <w:rFonts w:cstheme="minorHAnsi"/>
        </w:rPr>
      </w:pPr>
      <w:r>
        <w:rPr>
          <w:rFonts w:cstheme="minorHAnsi"/>
        </w:rPr>
        <w:t xml:space="preserve">snižování hluku z železniční nákladní </w:t>
      </w:r>
      <w:r w:rsidRPr="00976215">
        <w:rPr>
          <w:rFonts w:cstheme="minorHAnsi"/>
        </w:rPr>
        <w:t>dopravy</w:t>
      </w:r>
      <w:r w:rsidR="00B74618" w:rsidRPr="00976215">
        <w:rPr>
          <w:rFonts w:cstheme="minorHAnsi"/>
        </w:rPr>
        <w:t xml:space="preserve"> – pouze 2022</w:t>
      </w:r>
    </w:p>
    <w:p w14:paraId="2CF2B5AE" w14:textId="77777777" w:rsidR="00982AE4" w:rsidRPr="00262E12" w:rsidRDefault="00976215" w:rsidP="00982AE4">
      <w:pPr>
        <w:pStyle w:val="Odstavecseseznamem"/>
        <w:numPr>
          <w:ilvl w:val="0"/>
          <w:numId w:val="3"/>
        </w:numPr>
        <w:rPr>
          <w:rFonts w:cstheme="minorHAnsi"/>
        </w:rPr>
      </w:pPr>
      <w:r>
        <w:rPr>
          <w:rFonts w:cstheme="minorHAnsi"/>
        </w:rPr>
        <w:t xml:space="preserve">vyhlášení </w:t>
      </w:r>
      <w:r w:rsidR="00FF12B3" w:rsidRPr="00976215">
        <w:rPr>
          <w:rFonts w:cstheme="minorHAnsi"/>
        </w:rPr>
        <w:t>první výzv</w:t>
      </w:r>
      <w:r>
        <w:rPr>
          <w:rFonts w:cstheme="minorHAnsi"/>
        </w:rPr>
        <w:t>y</w:t>
      </w:r>
      <w:r w:rsidR="00FF12B3" w:rsidRPr="00976215">
        <w:rPr>
          <w:rFonts w:cstheme="minorHAnsi"/>
        </w:rPr>
        <w:t xml:space="preserve"> – není rozhodnuto</w:t>
      </w:r>
      <w:r w:rsidR="00FF12B3" w:rsidRPr="00262E12">
        <w:rPr>
          <w:rFonts w:cstheme="minorHAnsi"/>
        </w:rPr>
        <w:t xml:space="preserve">: </w:t>
      </w:r>
      <w:r w:rsidR="00FF12B3" w:rsidRPr="00262E12">
        <w:rPr>
          <w:rFonts w:cstheme="minorHAnsi"/>
          <w:color w:val="FF0000"/>
        </w:rPr>
        <w:t xml:space="preserve">červen </w:t>
      </w:r>
      <w:r w:rsidRPr="00262E12">
        <w:rPr>
          <w:rFonts w:cstheme="minorHAnsi"/>
          <w:color w:val="FF0000"/>
        </w:rPr>
        <w:t>/</w:t>
      </w:r>
      <w:r w:rsidR="00FF12B3" w:rsidRPr="00262E12">
        <w:rPr>
          <w:rFonts w:cstheme="minorHAnsi"/>
          <w:color w:val="FF0000"/>
        </w:rPr>
        <w:t xml:space="preserve"> </w:t>
      </w:r>
      <w:r w:rsidR="00262E12">
        <w:rPr>
          <w:rFonts w:cstheme="minorHAnsi"/>
          <w:color w:val="FF0000"/>
        </w:rPr>
        <w:t>září</w:t>
      </w:r>
      <w:r w:rsidRPr="00262E12">
        <w:rPr>
          <w:rFonts w:cstheme="minorHAnsi"/>
          <w:color w:val="FF0000"/>
        </w:rPr>
        <w:t xml:space="preserve"> 2021</w:t>
      </w:r>
      <w:r w:rsidR="00262E12">
        <w:rPr>
          <w:rFonts w:cstheme="minorHAnsi"/>
          <w:color w:val="FF0000"/>
        </w:rPr>
        <w:t>?</w:t>
      </w:r>
    </w:p>
    <w:p w14:paraId="7630AC19" w14:textId="1C0B8B5E" w:rsidR="00976215" w:rsidRPr="00262E12" w:rsidRDefault="00976215" w:rsidP="00EB4F1F">
      <w:pPr>
        <w:pStyle w:val="Odstavecseseznamem"/>
        <w:numPr>
          <w:ilvl w:val="1"/>
          <w:numId w:val="3"/>
        </w:numPr>
        <w:ind w:left="1416"/>
        <w:rPr>
          <w:rFonts w:cstheme="minorHAnsi"/>
        </w:rPr>
      </w:pPr>
      <w:r w:rsidRPr="00262E12">
        <w:rPr>
          <w:rFonts w:cstheme="minorHAnsi"/>
        </w:rPr>
        <w:t xml:space="preserve">termín pro předložení žádostí: </w:t>
      </w:r>
      <w:r w:rsidRPr="00262E12">
        <w:rPr>
          <w:rFonts w:cstheme="minorHAnsi"/>
          <w:color w:val="FF0000"/>
        </w:rPr>
        <w:t>neurčen; MD usiluje o prodloužení lhůty pro předložení žádostí, aby příjemci měli čas na přípravu</w:t>
      </w:r>
      <w:r w:rsidR="00C009B1">
        <w:rPr>
          <w:rFonts w:cstheme="minorHAnsi"/>
          <w:color w:val="FF0000"/>
        </w:rPr>
        <w:t xml:space="preserve"> projektových žádostí</w:t>
      </w:r>
    </w:p>
    <w:p w14:paraId="44473DC2" w14:textId="77777777" w:rsidR="00883E42" w:rsidRPr="00883E42" w:rsidRDefault="00883E42" w:rsidP="00982AE4">
      <w:pPr>
        <w:pStyle w:val="Odstavecseseznamem"/>
        <w:numPr>
          <w:ilvl w:val="0"/>
          <w:numId w:val="3"/>
        </w:numPr>
        <w:rPr>
          <w:rFonts w:cstheme="minorHAnsi"/>
        </w:rPr>
      </w:pPr>
      <w:r w:rsidRPr="00883E42">
        <w:rPr>
          <w:rFonts w:cstheme="minorHAnsi"/>
        </w:rPr>
        <w:t>způsobilost výdajů – od podání projektové žádosti (</w:t>
      </w:r>
      <w:r>
        <w:rPr>
          <w:rFonts w:cstheme="minorHAnsi"/>
        </w:rPr>
        <w:t>kromě</w:t>
      </w:r>
      <w:r w:rsidRPr="00883E42">
        <w:rPr>
          <w:rFonts w:cstheme="minorHAnsi"/>
        </w:rPr>
        <w:t xml:space="preserve"> 2021 – způsobilost od 1.</w:t>
      </w:r>
      <w:r>
        <w:rPr>
          <w:rFonts w:cstheme="minorHAnsi"/>
        </w:rPr>
        <w:t xml:space="preserve"> </w:t>
      </w:r>
      <w:r w:rsidRPr="00883E42">
        <w:rPr>
          <w:rFonts w:cstheme="minorHAnsi"/>
        </w:rPr>
        <w:t>1.</w:t>
      </w:r>
      <w:r>
        <w:rPr>
          <w:rFonts w:cstheme="minorHAnsi"/>
        </w:rPr>
        <w:t xml:space="preserve"> </w:t>
      </w:r>
      <w:r w:rsidRPr="00883E42">
        <w:rPr>
          <w:rFonts w:cstheme="minorHAnsi"/>
        </w:rPr>
        <w:t>2021)</w:t>
      </w:r>
    </w:p>
    <w:p w14:paraId="7C190CEC" w14:textId="77777777" w:rsidR="00FF12B3" w:rsidRPr="008A41F1" w:rsidRDefault="00FF12B3" w:rsidP="00976215">
      <w:pPr>
        <w:pStyle w:val="Nadpis2"/>
      </w:pPr>
      <w:r w:rsidRPr="008A41F1">
        <w:t>Pravidla implementace</w:t>
      </w:r>
      <w:r w:rsidR="001660A2" w:rsidRPr="008A41F1">
        <w:t xml:space="preserve"> projektů</w:t>
      </w:r>
    </w:p>
    <w:p w14:paraId="6811A494" w14:textId="17F0E91D" w:rsidR="00FF12B3" w:rsidRPr="008A41F1" w:rsidRDefault="008A41F1" w:rsidP="00FF12B3">
      <w:pPr>
        <w:pStyle w:val="Odstavecseseznamem"/>
        <w:numPr>
          <w:ilvl w:val="0"/>
          <w:numId w:val="3"/>
        </w:numPr>
        <w:rPr>
          <w:rFonts w:cstheme="minorHAnsi"/>
        </w:rPr>
      </w:pPr>
      <w:r w:rsidRPr="008A41F1">
        <w:rPr>
          <w:rFonts w:cstheme="minorHAnsi"/>
        </w:rPr>
        <w:t>implementace v gesci CINEA (dříve INEA)</w:t>
      </w:r>
    </w:p>
    <w:p w14:paraId="07E3C2DF" w14:textId="77777777" w:rsidR="001660A2" w:rsidRPr="008A41F1" w:rsidRDefault="001660A2" w:rsidP="001660A2">
      <w:pPr>
        <w:pStyle w:val="Odstavecseseznamem"/>
        <w:numPr>
          <w:ilvl w:val="0"/>
          <w:numId w:val="3"/>
        </w:numPr>
        <w:rPr>
          <w:rFonts w:cstheme="minorHAnsi"/>
          <w:color w:val="FF0000"/>
        </w:rPr>
      </w:pPr>
      <w:r w:rsidRPr="008A41F1">
        <w:rPr>
          <w:rFonts w:cstheme="minorHAnsi"/>
          <w:color w:val="FF0000"/>
        </w:rPr>
        <w:t>pravidla stále v</w:t>
      </w:r>
      <w:r w:rsidR="00262E12">
        <w:rPr>
          <w:rFonts w:cstheme="minorHAnsi"/>
          <w:color w:val="FF0000"/>
        </w:rPr>
        <w:t> </w:t>
      </w:r>
      <w:r w:rsidR="00976215">
        <w:rPr>
          <w:rFonts w:cstheme="minorHAnsi"/>
          <w:color w:val="FF0000"/>
        </w:rPr>
        <w:t>přípravě</w:t>
      </w:r>
      <w:r w:rsidR="00262E12">
        <w:rPr>
          <w:rFonts w:cstheme="minorHAnsi"/>
          <w:color w:val="FF0000"/>
        </w:rPr>
        <w:t>; CINEA prezentovala zatím jen hrubý nástin</w:t>
      </w:r>
    </w:p>
    <w:p w14:paraId="47B79737" w14:textId="1C7EC3A8" w:rsidR="008A41F1" w:rsidRDefault="00FF12B3" w:rsidP="00E8649E">
      <w:pPr>
        <w:pStyle w:val="Odstavecseseznamem"/>
        <w:numPr>
          <w:ilvl w:val="0"/>
          <w:numId w:val="3"/>
        </w:numPr>
        <w:rPr>
          <w:rFonts w:cstheme="minorHAnsi"/>
        </w:rPr>
      </w:pPr>
      <w:r w:rsidRPr="008A41F1">
        <w:rPr>
          <w:rFonts w:cstheme="minorHAnsi"/>
        </w:rPr>
        <w:t xml:space="preserve">změna informačního systému na </w:t>
      </w:r>
      <w:proofErr w:type="spellStart"/>
      <w:r w:rsidRPr="00D760A3">
        <w:rPr>
          <w:rFonts w:cstheme="minorHAnsi"/>
          <w:b/>
        </w:rPr>
        <w:t>eGrants</w:t>
      </w:r>
      <w:proofErr w:type="spellEnd"/>
      <w:r w:rsidRPr="008A41F1">
        <w:rPr>
          <w:rFonts w:cstheme="minorHAnsi"/>
        </w:rPr>
        <w:t xml:space="preserve"> (užíván v</w:t>
      </w:r>
      <w:r w:rsidR="00B74618">
        <w:rPr>
          <w:rFonts w:cstheme="minorHAnsi"/>
        </w:rPr>
        <w:t xml:space="preserve"> programu </w:t>
      </w:r>
      <w:r w:rsidRPr="008A41F1">
        <w:rPr>
          <w:rFonts w:cstheme="minorHAnsi"/>
        </w:rPr>
        <w:t>Horizont</w:t>
      </w:r>
      <w:r w:rsidR="00B74618">
        <w:rPr>
          <w:rFonts w:cstheme="minorHAnsi"/>
        </w:rPr>
        <w:t xml:space="preserve"> Evropa</w:t>
      </w:r>
      <w:r w:rsidRPr="008A41F1">
        <w:rPr>
          <w:rFonts w:cstheme="minorHAnsi"/>
        </w:rPr>
        <w:t>)</w:t>
      </w:r>
      <w:r w:rsidR="001660A2" w:rsidRPr="008A41F1">
        <w:rPr>
          <w:rFonts w:cstheme="minorHAnsi"/>
        </w:rPr>
        <w:t xml:space="preserve"> -</w:t>
      </w:r>
      <w:r w:rsidR="001660A2" w:rsidRPr="008A41F1">
        <w:rPr>
          <w:rFonts w:cstheme="minorHAnsi"/>
          <w:lang w:val="en-US"/>
        </w:rPr>
        <w:t>&gt;</w:t>
      </w:r>
      <w:r w:rsidR="001660A2" w:rsidRPr="008A41F1">
        <w:rPr>
          <w:rFonts w:cstheme="minorHAnsi"/>
        </w:rPr>
        <w:t xml:space="preserve"> monitorovací období se nebudou muset krýt s kalendářním rokem, změny ve lhůtách</w:t>
      </w:r>
      <w:r w:rsidR="00B74618">
        <w:rPr>
          <w:rFonts w:cstheme="minorHAnsi"/>
        </w:rPr>
        <w:t>, poskytování záloh a plateb atd.</w:t>
      </w:r>
    </w:p>
    <w:p w14:paraId="4624B45C" w14:textId="77FB3FEF" w:rsidR="00D908B5" w:rsidRPr="00E8649E" w:rsidRDefault="00D908B5" w:rsidP="00E8649E">
      <w:pPr>
        <w:pStyle w:val="Odstavecseseznamem"/>
        <w:numPr>
          <w:ilvl w:val="0"/>
          <w:numId w:val="3"/>
        </w:numPr>
        <w:rPr>
          <w:rFonts w:cstheme="minorHAnsi"/>
        </w:rPr>
      </w:pPr>
      <w:r>
        <w:rPr>
          <w:rFonts w:cstheme="minorHAnsi"/>
        </w:rPr>
        <w:t xml:space="preserve">očekáváme uplatnění požadavku na minimální velikosti projektu jako ve stávajícím CEF (příspěvek CEF min. 500 000 EUR pro studie a 1 000 000 EUR pro práce) </w:t>
      </w:r>
    </w:p>
    <w:p w14:paraId="6930E747" w14:textId="77777777" w:rsidR="00E656C5" w:rsidRPr="00976215" w:rsidRDefault="001660A2" w:rsidP="00976215">
      <w:pPr>
        <w:pStyle w:val="Nadpis2"/>
      </w:pPr>
      <w:r w:rsidRPr="00976215">
        <w:t>Podmínky</w:t>
      </w:r>
      <w:r w:rsidR="00BD4BB9" w:rsidRPr="00976215">
        <w:t xml:space="preserve"> schválení projekt</w:t>
      </w:r>
      <w:r w:rsidR="00E656C5" w:rsidRPr="00976215">
        <w:t>ů na národní úrovni</w:t>
      </w:r>
    </w:p>
    <w:p w14:paraId="142587E1" w14:textId="77777777" w:rsidR="001660A2" w:rsidRPr="00E656C5" w:rsidRDefault="00E656C5" w:rsidP="00976215">
      <w:pPr>
        <w:pStyle w:val="Odstavecseseznamem"/>
        <w:numPr>
          <w:ilvl w:val="0"/>
          <w:numId w:val="3"/>
        </w:numPr>
        <w:rPr>
          <w:rFonts w:cstheme="minorHAnsi"/>
        </w:rPr>
      </w:pPr>
      <w:r>
        <w:rPr>
          <w:rFonts w:cstheme="minorHAnsi"/>
        </w:rPr>
        <w:t>p</w:t>
      </w:r>
      <w:r w:rsidR="001660A2" w:rsidRPr="00E656C5">
        <w:rPr>
          <w:rFonts w:cstheme="minorHAnsi"/>
        </w:rPr>
        <w:t xml:space="preserve">rojekty lze předkládat </w:t>
      </w:r>
      <w:r w:rsidR="001660A2" w:rsidRPr="00D760A3">
        <w:rPr>
          <w:rFonts w:cstheme="minorHAnsi"/>
          <w:b/>
        </w:rPr>
        <w:t>pouze se souhlasem státu = ministerstva dopravy</w:t>
      </w:r>
      <w:r w:rsidR="001660A2" w:rsidRPr="00E656C5">
        <w:rPr>
          <w:rFonts w:cstheme="minorHAnsi"/>
        </w:rPr>
        <w:t xml:space="preserve"> (MD), odboru Fondů EU</w:t>
      </w:r>
    </w:p>
    <w:p w14:paraId="7EDA8A97" w14:textId="77777777" w:rsidR="001660A2" w:rsidRPr="00BD4BB9" w:rsidRDefault="001660A2" w:rsidP="00BD4BB9">
      <w:pPr>
        <w:pStyle w:val="Odstavecseseznamem"/>
        <w:numPr>
          <w:ilvl w:val="0"/>
          <w:numId w:val="3"/>
        </w:numPr>
        <w:rPr>
          <w:rFonts w:cstheme="minorHAnsi"/>
          <w:b/>
          <w:color w:val="FF0000"/>
        </w:rPr>
      </w:pPr>
      <w:r w:rsidRPr="008A41F1">
        <w:rPr>
          <w:rFonts w:cstheme="minorHAnsi"/>
        </w:rPr>
        <w:t>souhlas bude vydán za těchto podmínek</w:t>
      </w:r>
      <w:r w:rsidR="00BD4BB9">
        <w:rPr>
          <w:rFonts w:cstheme="minorHAnsi"/>
        </w:rPr>
        <w:t xml:space="preserve"> (</w:t>
      </w:r>
      <w:r w:rsidR="00BD4BB9" w:rsidRPr="00B74618">
        <w:rPr>
          <w:rFonts w:cstheme="minorHAnsi"/>
          <w:b/>
          <w:color w:val="FF0000"/>
        </w:rPr>
        <w:t>v případě vysoké poptávky ze strany žadatelů mohou být stanovena další kritéria, případně omezeny aktivity pro předkládání v národní obálce</w:t>
      </w:r>
      <w:r w:rsidR="00BD4BB9">
        <w:rPr>
          <w:rFonts w:cstheme="minorHAnsi"/>
          <w:b/>
          <w:color w:val="FF0000"/>
        </w:rPr>
        <w:t>)</w:t>
      </w:r>
      <w:r w:rsidRPr="00BD4BB9">
        <w:rPr>
          <w:rFonts w:cstheme="minorHAnsi"/>
        </w:rPr>
        <w:t>:</w:t>
      </w:r>
    </w:p>
    <w:p w14:paraId="2103CA7A" w14:textId="77777777" w:rsidR="00BD4BB9" w:rsidRDefault="00BD4BB9" w:rsidP="001660A2">
      <w:pPr>
        <w:pStyle w:val="Odstavecseseznamem"/>
        <w:numPr>
          <w:ilvl w:val="1"/>
          <w:numId w:val="3"/>
        </w:numPr>
        <w:rPr>
          <w:rFonts w:cstheme="minorHAnsi"/>
        </w:rPr>
      </w:pPr>
      <w:r>
        <w:rPr>
          <w:rFonts w:cstheme="minorHAnsi"/>
        </w:rPr>
        <w:t>projekt bude splňovat podmínky výzvy</w:t>
      </w:r>
    </w:p>
    <w:p w14:paraId="297B7B78" w14:textId="77777777" w:rsidR="00BD4BB9" w:rsidRPr="00BD4BB9" w:rsidRDefault="00BD4BB9" w:rsidP="00BD4BB9">
      <w:pPr>
        <w:pStyle w:val="Odstavecseseznamem"/>
        <w:numPr>
          <w:ilvl w:val="1"/>
          <w:numId w:val="3"/>
        </w:numPr>
        <w:rPr>
          <w:rFonts w:cstheme="minorHAnsi"/>
        </w:rPr>
      </w:pPr>
      <w:r w:rsidRPr="008A41F1">
        <w:rPr>
          <w:rFonts w:cstheme="minorHAnsi"/>
          <w:b/>
        </w:rPr>
        <w:t>žadatel bude poskytovat informace MD o uzavření a změnách grantové dohody, věcném pokroku (monitorovací zprávy) a platbách</w:t>
      </w:r>
    </w:p>
    <w:p w14:paraId="013C7993" w14:textId="77777777" w:rsidR="00BD4BB9" w:rsidRPr="009B208A" w:rsidRDefault="00BD4BB9" w:rsidP="009B208A">
      <w:pPr>
        <w:pStyle w:val="Odstavecseseznamem"/>
        <w:numPr>
          <w:ilvl w:val="1"/>
          <w:numId w:val="3"/>
        </w:numPr>
        <w:rPr>
          <w:rFonts w:cstheme="minorHAnsi"/>
        </w:rPr>
      </w:pPr>
      <w:r w:rsidRPr="00BD4BB9">
        <w:rPr>
          <w:rFonts w:cstheme="minorHAnsi"/>
        </w:rPr>
        <w:t>Projekty do </w:t>
      </w:r>
      <w:r w:rsidRPr="009B208A">
        <w:rPr>
          <w:rFonts w:cstheme="minorHAnsi"/>
        </w:rPr>
        <w:t>národní obálky</w:t>
      </w:r>
      <w:r w:rsidR="009B208A" w:rsidRPr="009B208A">
        <w:rPr>
          <w:rFonts w:cstheme="minorHAnsi"/>
        </w:rPr>
        <w:t xml:space="preserve"> (mimo MD a státních investorských organizací):</w:t>
      </w:r>
    </w:p>
    <w:p w14:paraId="08109AC1" w14:textId="77777777" w:rsidR="001660A2" w:rsidRPr="009B208A" w:rsidRDefault="001660A2" w:rsidP="009B208A">
      <w:pPr>
        <w:pStyle w:val="Odstavecseseznamem"/>
        <w:numPr>
          <w:ilvl w:val="2"/>
          <w:numId w:val="3"/>
        </w:numPr>
        <w:ind w:left="1560" w:hanging="141"/>
        <w:rPr>
          <w:rFonts w:cstheme="minorHAnsi"/>
        </w:rPr>
      </w:pPr>
      <w:r w:rsidRPr="008A41F1">
        <w:rPr>
          <w:rFonts w:cstheme="minorHAnsi"/>
        </w:rPr>
        <w:t xml:space="preserve">projekt bude v pokročilém stádiu přípravy = </w:t>
      </w:r>
      <w:r w:rsidRPr="008A41F1">
        <w:rPr>
          <w:rFonts w:cstheme="minorHAnsi"/>
          <w:b/>
        </w:rPr>
        <w:t>bude vyhlášeno výběrové řízení na dodavatele a uplyne lhůta pro podání nabídek</w:t>
      </w:r>
    </w:p>
    <w:p w14:paraId="000D80E3" w14:textId="77777777" w:rsidR="009B208A" w:rsidRPr="008A41F1" w:rsidRDefault="009B208A" w:rsidP="009B208A">
      <w:pPr>
        <w:pStyle w:val="Odstavecseseznamem"/>
        <w:numPr>
          <w:ilvl w:val="2"/>
          <w:numId w:val="3"/>
        </w:numPr>
        <w:ind w:left="1560" w:hanging="141"/>
        <w:rPr>
          <w:rFonts w:cstheme="minorHAnsi"/>
        </w:rPr>
      </w:pPr>
      <w:r>
        <w:rPr>
          <w:rFonts w:cstheme="minorHAnsi"/>
          <w:b/>
        </w:rPr>
        <w:t>grantová dohoda bude uzavřena pouze v případě dokončeného výběrového řízení</w:t>
      </w:r>
    </w:p>
    <w:p w14:paraId="211627DF" w14:textId="77777777" w:rsidR="00E656C5" w:rsidRPr="00C93BFC" w:rsidRDefault="009B208A" w:rsidP="00976215">
      <w:pPr>
        <w:pStyle w:val="Nadpis2"/>
      </w:pPr>
      <w:r w:rsidRPr="00C93BFC">
        <w:t>Další informace</w:t>
      </w:r>
    </w:p>
    <w:p w14:paraId="6A0455F6" w14:textId="77777777" w:rsidR="00E656C5" w:rsidRPr="00E656C5" w:rsidRDefault="009B208A" w:rsidP="00C93BFC">
      <w:pPr>
        <w:pStyle w:val="Odstavecseseznamem"/>
        <w:numPr>
          <w:ilvl w:val="0"/>
          <w:numId w:val="3"/>
        </w:numPr>
        <w:ind w:left="714" w:hanging="357"/>
        <w:rPr>
          <w:rFonts w:cstheme="minorHAnsi"/>
          <w:b/>
        </w:rPr>
      </w:pPr>
      <w:r w:rsidRPr="00E656C5">
        <w:rPr>
          <w:rFonts w:cstheme="minorHAnsi"/>
        </w:rPr>
        <w:t xml:space="preserve">po schválení nařízení CEF </w:t>
      </w:r>
      <w:r w:rsidR="00E656C5">
        <w:rPr>
          <w:rFonts w:cstheme="minorHAnsi"/>
        </w:rPr>
        <w:t>/ víceletého pracovního programu</w:t>
      </w:r>
    </w:p>
    <w:p w14:paraId="4362BA30" w14:textId="51CC9794" w:rsidR="007A1534" w:rsidRPr="00E656C5" w:rsidRDefault="009B208A" w:rsidP="00E656C5">
      <w:pPr>
        <w:pStyle w:val="Odstavecseseznamem"/>
        <w:numPr>
          <w:ilvl w:val="0"/>
          <w:numId w:val="3"/>
        </w:numPr>
        <w:spacing w:before="240"/>
        <w:rPr>
          <w:rFonts w:cstheme="minorHAnsi"/>
          <w:b/>
        </w:rPr>
      </w:pPr>
      <w:r w:rsidRPr="00E656C5">
        <w:rPr>
          <w:rFonts w:cstheme="minorHAnsi"/>
        </w:rPr>
        <w:t xml:space="preserve">na vyžádání </w:t>
      </w:r>
      <w:r w:rsidR="00B16652">
        <w:rPr>
          <w:rFonts w:cstheme="minorHAnsi"/>
        </w:rPr>
        <w:t>e-</w:t>
      </w:r>
      <w:r w:rsidR="00340083">
        <w:rPr>
          <w:rFonts w:cstheme="minorHAnsi"/>
        </w:rPr>
        <w:t xml:space="preserve">mailem </w:t>
      </w:r>
      <w:r w:rsidRPr="00E656C5">
        <w:rPr>
          <w:rFonts w:cstheme="minorHAnsi"/>
        </w:rPr>
        <w:t xml:space="preserve">nebo na </w:t>
      </w:r>
      <w:hyperlink r:id="rId8" w:history="1">
        <w:r w:rsidR="00E656C5" w:rsidRPr="00030058">
          <w:rPr>
            <w:rStyle w:val="Hypertextovodkaz"/>
            <w:rFonts w:cstheme="minorHAnsi"/>
          </w:rPr>
          <w:t>www.mdcr.cz/cef</w:t>
        </w:r>
      </w:hyperlink>
    </w:p>
    <w:p w14:paraId="3D8D9050" w14:textId="77777777" w:rsidR="00E656C5" w:rsidRPr="00E656C5" w:rsidRDefault="00E656C5" w:rsidP="00E656C5">
      <w:pPr>
        <w:pStyle w:val="Odstavecseseznamem"/>
        <w:numPr>
          <w:ilvl w:val="0"/>
          <w:numId w:val="3"/>
        </w:numPr>
        <w:spacing w:before="240"/>
        <w:rPr>
          <w:rFonts w:cstheme="minorHAnsi"/>
          <w:b/>
        </w:rPr>
      </w:pPr>
      <w:r>
        <w:rPr>
          <w:rFonts w:cstheme="minorHAnsi"/>
        </w:rPr>
        <w:t>kontaktní osoba:</w:t>
      </w:r>
    </w:p>
    <w:p w14:paraId="7AE634D6" w14:textId="77777777" w:rsidR="00E656C5" w:rsidRPr="00C93BFC" w:rsidRDefault="00E656C5" w:rsidP="00C93BFC">
      <w:pPr>
        <w:ind w:left="720"/>
        <w:rPr>
          <w:rFonts w:cstheme="minorHAnsi"/>
          <w:b/>
        </w:rPr>
      </w:pPr>
      <w:r w:rsidRPr="00C93BFC">
        <w:rPr>
          <w:rFonts w:cstheme="minorHAnsi"/>
          <w:b/>
        </w:rPr>
        <w:t>Petr Šváb</w:t>
      </w:r>
    </w:p>
    <w:p w14:paraId="6C85E588" w14:textId="0FF381ED" w:rsidR="00E656C5" w:rsidRPr="00C93BFC" w:rsidRDefault="001F5F66" w:rsidP="00C93BFC">
      <w:pPr>
        <w:ind w:left="360" w:firstLine="360"/>
        <w:rPr>
          <w:rFonts w:cstheme="minorHAnsi"/>
          <w:b/>
        </w:rPr>
      </w:pPr>
      <w:r w:rsidRPr="001F5F66">
        <w:rPr>
          <w:b/>
        </w:rPr>
        <w:t>E- mail:</w:t>
      </w:r>
      <w:r>
        <w:t xml:space="preserve"> </w:t>
      </w:r>
      <w:hyperlink r:id="rId9" w:history="1">
        <w:r w:rsidR="00E656C5" w:rsidRPr="00C93BFC">
          <w:rPr>
            <w:rStyle w:val="Hypertextovodkaz"/>
            <w:rFonts w:cstheme="minorHAnsi"/>
            <w:b/>
          </w:rPr>
          <w:t>petr.svab@mdcr.cz</w:t>
        </w:r>
      </w:hyperlink>
    </w:p>
    <w:p w14:paraId="67C392E8" w14:textId="7163C6B9" w:rsidR="00C93BFC" w:rsidRPr="00C93BFC" w:rsidRDefault="00340083" w:rsidP="00C93BFC">
      <w:pPr>
        <w:ind w:left="360" w:firstLine="360"/>
        <w:rPr>
          <w:rFonts w:cstheme="minorHAnsi"/>
          <w:b/>
        </w:rPr>
      </w:pPr>
      <w:r>
        <w:rPr>
          <w:rFonts w:cstheme="minorHAnsi"/>
          <w:b/>
        </w:rPr>
        <w:t>T</w:t>
      </w:r>
      <w:r w:rsidR="00C93BFC" w:rsidRPr="00C93BFC">
        <w:rPr>
          <w:rFonts w:cstheme="minorHAnsi"/>
          <w:b/>
        </w:rPr>
        <w:t>el.: 225 131 639</w:t>
      </w:r>
    </w:p>
    <w:p w14:paraId="54E7BBE6" w14:textId="77777777" w:rsidR="00C93BFC" w:rsidRPr="00E656C5" w:rsidRDefault="00C93BFC" w:rsidP="00C93BFC">
      <w:pPr>
        <w:ind w:left="360" w:firstLine="360"/>
        <w:rPr>
          <w:rFonts w:cstheme="minorHAnsi"/>
          <w:b/>
        </w:rPr>
      </w:pPr>
      <w:r w:rsidRPr="00C93BFC">
        <w:rPr>
          <w:rFonts w:cstheme="minorHAnsi"/>
          <w:b/>
        </w:rPr>
        <w:t>Mobil: 727 947 336</w:t>
      </w:r>
    </w:p>
    <w:p w14:paraId="69084A0D" w14:textId="77777777" w:rsidR="00D34E8A" w:rsidRDefault="00D34E8A">
      <w:pPr>
        <w:spacing w:after="160" w:line="259" w:lineRule="auto"/>
        <w:rPr>
          <w:rFonts w:eastAsiaTheme="majorEastAsia" w:cstheme="minorHAnsi"/>
          <w:b/>
          <w:color w:val="2E74B5" w:themeColor="accent1" w:themeShade="BF"/>
          <w:sz w:val="24"/>
          <w:szCs w:val="24"/>
        </w:rPr>
      </w:pPr>
      <w:r>
        <w:br w:type="page"/>
      </w:r>
    </w:p>
    <w:p w14:paraId="59205CCA" w14:textId="391B57E9" w:rsidR="00C76A64" w:rsidRDefault="00C93BFC" w:rsidP="00976215">
      <w:pPr>
        <w:pStyle w:val="Nadpis2"/>
      </w:pPr>
      <w:r>
        <w:lastRenderedPageBreak/>
        <w:t>C</w:t>
      </w:r>
      <w:r w:rsidR="005304A2" w:rsidRPr="00C93BFC">
        <w:t>íle a podporované aktivity</w:t>
      </w:r>
    </w:p>
    <w:p w14:paraId="4994A359" w14:textId="77777777" w:rsidR="005304A2" w:rsidRPr="00D760A3" w:rsidRDefault="00C93BFC" w:rsidP="00582F80">
      <w:pPr>
        <w:pStyle w:val="Odstavecseseznamem"/>
        <w:numPr>
          <w:ilvl w:val="0"/>
          <w:numId w:val="3"/>
        </w:numPr>
        <w:jc w:val="both"/>
        <w:rPr>
          <w:rFonts w:cstheme="minorHAnsi"/>
          <w:color w:val="FF0000"/>
        </w:rPr>
      </w:pPr>
      <w:r w:rsidRPr="00D760A3">
        <w:rPr>
          <w:rFonts w:cstheme="minorHAnsi"/>
          <w:sz w:val="24"/>
          <w:szCs w:val="24"/>
        </w:rPr>
        <w:t xml:space="preserve">Jedná se o výtah z návrhu víceletého pracovního programu </w:t>
      </w:r>
      <w:r w:rsidRPr="00D760A3">
        <w:rPr>
          <w:rFonts w:cstheme="minorHAnsi"/>
          <w:color w:val="FF0000"/>
          <w:sz w:val="24"/>
          <w:szCs w:val="24"/>
        </w:rPr>
        <w:t xml:space="preserve">(podmínky se mohou </w:t>
      </w:r>
      <w:r w:rsidR="00262E12" w:rsidRPr="00D760A3">
        <w:rPr>
          <w:rFonts w:cstheme="minorHAnsi"/>
          <w:color w:val="FF0000"/>
          <w:sz w:val="24"/>
          <w:szCs w:val="24"/>
        </w:rPr>
        <w:t>z</w:t>
      </w:r>
      <w:r w:rsidRPr="00D760A3">
        <w:rPr>
          <w:rFonts w:cstheme="minorHAnsi"/>
          <w:color w:val="FF0000"/>
          <w:sz w:val="24"/>
          <w:szCs w:val="24"/>
        </w:rPr>
        <w:t>měnit</w:t>
      </w:r>
      <w:r w:rsidR="00262E12" w:rsidRPr="00D760A3">
        <w:rPr>
          <w:rFonts w:cstheme="minorHAnsi"/>
          <w:color w:val="FF0000"/>
          <w:sz w:val="24"/>
          <w:szCs w:val="24"/>
        </w:rPr>
        <w:t>!</w:t>
      </w:r>
      <w:r w:rsidRPr="00D760A3">
        <w:rPr>
          <w:rFonts w:cstheme="minorHAnsi"/>
          <w:color w:val="FF0000"/>
          <w:sz w:val="24"/>
          <w:szCs w:val="24"/>
        </w:rPr>
        <w:t>)</w:t>
      </w:r>
    </w:p>
    <w:p w14:paraId="664B71BC" w14:textId="77777777" w:rsidR="00262E12" w:rsidRPr="00262E12" w:rsidRDefault="00262E12" w:rsidP="00262E12">
      <w:pPr>
        <w:pStyle w:val="Odstavecseseznamem"/>
        <w:jc w:val="both"/>
        <w:rPr>
          <w:rFonts w:cstheme="minorHAnsi"/>
          <w:color w:val="FF0000"/>
        </w:rPr>
      </w:pPr>
    </w:p>
    <w:p w14:paraId="7757226B" w14:textId="77777777" w:rsidR="00C76A64" w:rsidRPr="008A41F1" w:rsidRDefault="00C76A64" w:rsidP="00C76A64">
      <w:pPr>
        <w:pStyle w:val="Odstavecseseznamem"/>
        <w:numPr>
          <w:ilvl w:val="0"/>
          <w:numId w:val="5"/>
        </w:numPr>
        <w:spacing w:after="160" w:line="256" w:lineRule="auto"/>
        <w:jc w:val="both"/>
        <w:rPr>
          <w:rFonts w:cstheme="minorHAnsi"/>
          <w:b/>
          <w:bCs/>
          <w:vanish/>
          <w:sz w:val="24"/>
          <w:szCs w:val="24"/>
          <w:lang w:val="en-IE"/>
        </w:rPr>
      </w:pPr>
    </w:p>
    <w:p w14:paraId="64D05D01" w14:textId="77777777" w:rsidR="00C76A64" w:rsidRPr="008A41F1" w:rsidRDefault="00C76A64" w:rsidP="00C76A64">
      <w:pPr>
        <w:pStyle w:val="Odstavecseseznamem"/>
        <w:numPr>
          <w:ilvl w:val="0"/>
          <w:numId w:val="5"/>
        </w:numPr>
        <w:spacing w:after="160" w:line="256" w:lineRule="auto"/>
        <w:jc w:val="both"/>
        <w:rPr>
          <w:rFonts w:cstheme="minorHAnsi"/>
          <w:b/>
          <w:bCs/>
          <w:vanish/>
          <w:sz w:val="24"/>
          <w:szCs w:val="24"/>
          <w:lang w:val="en-IE"/>
        </w:rPr>
      </w:pPr>
    </w:p>
    <w:p w14:paraId="288CCC34" w14:textId="77777777" w:rsidR="00C76A64" w:rsidRPr="008A41F1" w:rsidRDefault="00C76A64" w:rsidP="00C76A64">
      <w:pPr>
        <w:pStyle w:val="Odstavecseseznamem"/>
        <w:numPr>
          <w:ilvl w:val="0"/>
          <w:numId w:val="5"/>
        </w:numPr>
        <w:spacing w:after="160" w:line="256" w:lineRule="auto"/>
        <w:jc w:val="both"/>
        <w:rPr>
          <w:rFonts w:cstheme="minorHAnsi"/>
          <w:b/>
          <w:bCs/>
          <w:vanish/>
          <w:sz w:val="24"/>
          <w:szCs w:val="24"/>
          <w:lang w:val="en-IE"/>
        </w:rPr>
      </w:pPr>
    </w:p>
    <w:p w14:paraId="3C829C64" w14:textId="77777777" w:rsidR="00C76A64" w:rsidRPr="008A41F1" w:rsidRDefault="00C76A64" w:rsidP="00C76A64">
      <w:pPr>
        <w:pStyle w:val="Odstavecseseznamem"/>
        <w:numPr>
          <w:ilvl w:val="0"/>
          <w:numId w:val="5"/>
        </w:numPr>
        <w:spacing w:after="160" w:line="256" w:lineRule="auto"/>
        <w:jc w:val="both"/>
        <w:rPr>
          <w:rFonts w:cstheme="minorHAnsi"/>
          <w:b/>
          <w:bCs/>
          <w:vanish/>
          <w:sz w:val="24"/>
          <w:szCs w:val="24"/>
          <w:lang w:val="en-IE"/>
        </w:rPr>
      </w:pPr>
    </w:p>
    <w:p w14:paraId="79B67653" w14:textId="77777777" w:rsidR="00C76A64" w:rsidRPr="008A41F1" w:rsidRDefault="00C76A64" w:rsidP="00C76A64">
      <w:pPr>
        <w:pStyle w:val="Odstavecseseznamem"/>
        <w:numPr>
          <w:ilvl w:val="0"/>
          <w:numId w:val="5"/>
        </w:numPr>
        <w:spacing w:after="160" w:line="256" w:lineRule="auto"/>
        <w:jc w:val="both"/>
        <w:rPr>
          <w:rFonts w:cstheme="minorHAnsi"/>
          <w:b/>
          <w:bCs/>
          <w:vanish/>
          <w:sz w:val="24"/>
          <w:szCs w:val="24"/>
          <w:lang w:val="en-IE"/>
        </w:rPr>
      </w:pPr>
    </w:p>
    <w:p w14:paraId="67E651B9" w14:textId="77777777" w:rsidR="00C76A64" w:rsidRPr="008A41F1" w:rsidRDefault="00C76A64" w:rsidP="00C76A64">
      <w:pPr>
        <w:pStyle w:val="Odstavecseseznamem"/>
        <w:numPr>
          <w:ilvl w:val="0"/>
          <w:numId w:val="5"/>
        </w:numPr>
        <w:spacing w:after="160" w:line="256" w:lineRule="auto"/>
        <w:jc w:val="both"/>
        <w:rPr>
          <w:rFonts w:cstheme="minorHAnsi"/>
          <w:b/>
          <w:bCs/>
          <w:vanish/>
          <w:sz w:val="24"/>
          <w:szCs w:val="24"/>
          <w:lang w:val="en-IE"/>
        </w:rPr>
      </w:pPr>
    </w:p>
    <w:p w14:paraId="09DA24EA" w14:textId="77777777" w:rsidR="005304A2" w:rsidRPr="00C93BFC" w:rsidRDefault="00C93BFC" w:rsidP="00C93BFC">
      <w:pPr>
        <w:pStyle w:val="Odstavecseseznamem"/>
        <w:numPr>
          <w:ilvl w:val="0"/>
          <w:numId w:val="15"/>
        </w:numPr>
        <w:spacing w:after="160" w:line="256" w:lineRule="auto"/>
        <w:jc w:val="both"/>
        <w:rPr>
          <w:rFonts w:cstheme="minorHAnsi"/>
          <w:b/>
          <w:bCs/>
          <w:lang w:val="en-IE"/>
        </w:rPr>
      </w:pPr>
      <w:r w:rsidRPr="00D760A3">
        <w:rPr>
          <w:rFonts w:cstheme="minorHAnsi"/>
          <w:b/>
          <w:bCs/>
        </w:rPr>
        <w:t xml:space="preserve">Cíl </w:t>
      </w:r>
      <w:r w:rsidR="008F6558" w:rsidRPr="00D760A3">
        <w:rPr>
          <w:rFonts w:cstheme="minorHAnsi"/>
          <w:b/>
          <w:bCs/>
        </w:rPr>
        <w:t xml:space="preserve">DOKONČENÍ TEN-T </w:t>
      </w:r>
      <w:r w:rsidR="008F6558" w:rsidRPr="00C93BFC">
        <w:rPr>
          <w:rFonts w:cstheme="minorHAnsi"/>
          <w:bCs/>
          <w:i/>
          <w:lang w:val="en-IE"/>
        </w:rPr>
        <w:t>(COMPLETION OF THE TEN-T NETWORK / Actions related to the efficient, interconnected, interoperable and multimodal networks)</w:t>
      </w:r>
    </w:p>
    <w:p w14:paraId="10C6DE68" w14:textId="77777777" w:rsidR="00C76A64" w:rsidRPr="008A41F1" w:rsidRDefault="008F6558" w:rsidP="00C76A64">
      <w:pPr>
        <w:ind w:firstLine="360"/>
        <w:jc w:val="both"/>
        <w:rPr>
          <w:rFonts w:cstheme="minorHAnsi"/>
          <w:b/>
          <w:bCs/>
          <w:sz w:val="24"/>
          <w:szCs w:val="24"/>
          <w:lang w:val="en-IE"/>
        </w:rPr>
      </w:pPr>
      <w:r w:rsidRPr="00D760A3">
        <w:rPr>
          <w:rFonts w:cstheme="minorHAnsi"/>
          <w:b/>
          <w:bCs/>
          <w:sz w:val="24"/>
          <w:szCs w:val="24"/>
        </w:rPr>
        <w:t>Železnice</w:t>
      </w:r>
      <w:r w:rsidRPr="008A41F1">
        <w:rPr>
          <w:rFonts w:cstheme="minorHAnsi"/>
          <w:b/>
          <w:bCs/>
          <w:sz w:val="24"/>
          <w:szCs w:val="24"/>
          <w:lang w:val="en-IE"/>
        </w:rPr>
        <w:t xml:space="preserve"> </w:t>
      </w:r>
      <w:r w:rsidRPr="008A41F1">
        <w:rPr>
          <w:rFonts w:cstheme="minorHAnsi"/>
          <w:bCs/>
          <w:sz w:val="24"/>
          <w:szCs w:val="24"/>
          <w:lang w:val="en-IE"/>
        </w:rPr>
        <w:t>(</w:t>
      </w:r>
      <w:r w:rsidR="00C76A64" w:rsidRPr="008A41F1">
        <w:rPr>
          <w:rFonts w:cstheme="minorHAnsi"/>
          <w:bCs/>
          <w:sz w:val="24"/>
          <w:szCs w:val="24"/>
          <w:lang w:val="en-IE"/>
        </w:rPr>
        <w:t>Railways</w:t>
      </w:r>
      <w:r w:rsidRPr="008A41F1">
        <w:rPr>
          <w:rFonts w:cstheme="minorHAnsi"/>
          <w:bCs/>
          <w:sz w:val="24"/>
          <w:szCs w:val="24"/>
          <w:lang w:val="en-IE"/>
        </w:rPr>
        <w:t>)</w:t>
      </w:r>
    </w:p>
    <w:p w14:paraId="384EF481" w14:textId="77777777" w:rsidR="008F6558" w:rsidRPr="00D760A3" w:rsidRDefault="008F6558" w:rsidP="00C76A64">
      <w:pPr>
        <w:ind w:firstLine="360"/>
        <w:jc w:val="both"/>
        <w:rPr>
          <w:rFonts w:cstheme="minorHAnsi"/>
          <w:sz w:val="24"/>
          <w:szCs w:val="24"/>
        </w:rPr>
      </w:pPr>
      <w:r w:rsidRPr="00D760A3">
        <w:rPr>
          <w:rFonts w:cstheme="minorHAnsi"/>
          <w:sz w:val="24"/>
          <w:szCs w:val="24"/>
        </w:rPr>
        <w:t>Podporované a</w:t>
      </w:r>
      <w:r w:rsidR="003F0DD7" w:rsidRPr="00D760A3">
        <w:rPr>
          <w:rFonts w:cstheme="minorHAnsi"/>
          <w:sz w:val="24"/>
          <w:szCs w:val="24"/>
        </w:rPr>
        <w:t>k</w:t>
      </w:r>
      <w:r w:rsidRPr="00D760A3">
        <w:rPr>
          <w:rFonts w:cstheme="minorHAnsi"/>
          <w:sz w:val="24"/>
          <w:szCs w:val="24"/>
        </w:rPr>
        <w:t>tivity:</w:t>
      </w:r>
    </w:p>
    <w:p w14:paraId="4806BF98" w14:textId="77777777" w:rsidR="008F6558" w:rsidRPr="00D760A3" w:rsidRDefault="008F6558" w:rsidP="008F6558">
      <w:pPr>
        <w:pStyle w:val="Odstavecseseznamem"/>
        <w:numPr>
          <w:ilvl w:val="0"/>
          <w:numId w:val="3"/>
        </w:numPr>
        <w:jc w:val="both"/>
        <w:rPr>
          <w:rFonts w:cstheme="minorHAnsi"/>
          <w:sz w:val="24"/>
          <w:szCs w:val="24"/>
        </w:rPr>
      </w:pPr>
      <w:r w:rsidRPr="00D760A3">
        <w:rPr>
          <w:rFonts w:cstheme="minorHAnsi"/>
          <w:sz w:val="24"/>
          <w:szCs w:val="24"/>
        </w:rPr>
        <w:t>budování / modernizace přeshraničních a chybějících spojení</w:t>
      </w:r>
    </w:p>
    <w:p w14:paraId="45F1160A" w14:textId="77777777" w:rsidR="008F6558" w:rsidRPr="00D760A3" w:rsidRDefault="008F6558" w:rsidP="008F6558">
      <w:pPr>
        <w:pStyle w:val="Odstavecseseznamem"/>
        <w:numPr>
          <w:ilvl w:val="0"/>
          <w:numId w:val="3"/>
        </w:numPr>
        <w:jc w:val="both"/>
        <w:rPr>
          <w:rFonts w:cstheme="minorHAnsi"/>
          <w:sz w:val="24"/>
          <w:szCs w:val="24"/>
        </w:rPr>
      </w:pPr>
      <w:r w:rsidRPr="00D760A3">
        <w:rPr>
          <w:rFonts w:cstheme="minorHAnsi"/>
          <w:sz w:val="24"/>
          <w:szCs w:val="24"/>
        </w:rPr>
        <w:t>modernizace tratí</w:t>
      </w:r>
    </w:p>
    <w:p w14:paraId="4CE76615" w14:textId="77777777" w:rsidR="008F6558" w:rsidRPr="00D760A3" w:rsidRDefault="008F6558" w:rsidP="008F6558">
      <w:pPr>
        <w:pStyle w:val="Odstavecseseznamem"/>
        <w:numPr>
          <w:ilvl w:val="0"/>
          <w:numId w:val="3"/>
        </w:numPr>
        <w:jc w:val="both"/>
        <w:rPr>
          <w:rFonts w:cstheme="minorHAnsi"/>
          <w:sz w:val="24"/>
          <w:szCs w:val="24"/>
        </w:rPr>
      </w:pPr>
      <w:r w:rsidRPr="00D760A3">
        <w:rPr>
          <w:rFonts w:cstheme="minorHAnsi"/>
          <w:sz w:val="24"/>
          <w:szCs w:val="24"/>
        </w:rPr>
        <w:t>zvyšování kapacity v uzlech TEN-T</w:t>
      </w:r>
    </w:p>
    <w:p w14:paraId="64441569" w14:textId="77777777" w:rsidR="008F6558" w:rsidRPr="00D760A3" w:rsidRDefault="008F6558" w:rsidP="008F6558">
      <w:pPr>
        <w:pStyle w:val="Odstavecseseznamem"/>
        <w:numPr>
          <w:ilvl w:val="0"/>
          <w:numId w:val="3"/>
        </w:numPr>
        <w:jc w:val="both"/>
        <w:rPr>
          <w:rFonts w:cstheme="minorHAnsi"/>
          <w:sz w:val="24"/>
          <w:szCs w:val="24"/>
        </w:rPr>
      </w:pPr>
      <w:r w:rsidRPr="00D760A3">
        <w:rPr>
          <w:rFonts w:cstheme="minorHAnsi"/>
          <w:sz w:val="24"/>
          <w:szCs w:val="24"/>
        </w:rPr>
        <w:t>propojení železnice a ostatních dopravních módů</w:t>
      </w:r>
    </w:p>
    <w:p w14:paraId="22F6388F" w14:textId="77777777" w:rsidR="008F6558" w:rsidRPr="00D760A3" w:rsidRDefault="008F6558" w:rsidP="008F6558">
      <w:pPr>
        <w:pStyle w:val="Odstavecseseznamem"/>
        <w:numPr>
          <w:ilvl w:val="0"/>
          <w:numId w:val="3"/>
        </w:numPr>
        <w:jc w:val="both"/>
        <w:rPr>
          <w:rFonts w:cstheme="minorHAnsi"/>
          <w:sz w:val="24"/>
          <w:szCs w:val="24"/>
        </w:rPr>
      </w:pPr>
      <w:r w:rsidRPr="00D760A3">
        <w:rPr>
          <w:rFonts w:cstheme="minorHAnsi"/>
          <w:sz w:val="24"/>
          <w:szCs w:val="24"/>
        </w:rPr>
        <w:t>napojení terminálů kombinované dopravy na hlavní síť</w:t>
      </w:r>
    </w:p>
    <w:p w14:paraId="5AE49080" w14:textId="77777777" w:rsidR="008F6558" w:rsidRPr="00D760A3" w:rsidRDefault="008F6558" w:rsidP="008F6558">
      <w:pPr>
        <w:pStyle w:val="Odstavecseseznamem"/>
        <w:numPr>
          <w:ilvl w:val="0"/>
          <w:numId w:val="3"/>
        </w:numPr>
        <w:jc w:val="both"/>
        <w:rPr>
          <w:rFonts w:cstheme="minorHAnsi"/>
          <w:sz w:val="24"/>
          <w:szCs w:val="24"/>
        </w:rPr>
      </w:pPr>
      <w:r w:rsidRPr="00D760A3">
        <w:rPr>
          <w:rFonts w:cstheme="minorHAnsi"/>
          <w:sz w:val="24"/>
          <w:szCs w:val="24"/>
        </w:rPr>
        <w:t>elektrizace tratí</w:t>
      </w:r>
    </w:p>
    <w:p w14:paraId="0D887471" w14:textId="77777777" w:rsidR="004C1AB7" w:rsidRPr="00D760A3" w:rsidRDefault="004C1AB7" w:rsidP="00C93BFC">
      <w:pPr>
        <w:ind w:firstLine="360"/>
        <w:jc w:val="both"/>
        <w:rPr>
          <w:rFonts w:cstheme="minorHAnsi"/>
          <w:sz w:val="24"/>
          <w:szCs w:val="24"/>
        </w:rPr>
      </w:pPr>
      <w:r w:rsidRPr="00D760A3">
        <w:rPr>
          <w:rFonts w:cstheme="minorHAnsi"/>
          <w:sz w:val="24"/>
          <w:szCs w:val="24"/>
        </w:rPr>
        <w:t>Podporovány nebudou</w:t>
      </w:r>
      <w:r w:rsidR="00C93BFC" w:rsidRPr="00D760A3">
        <w:rPr>
          <w:rFonts w:cstheme="minorHAnsi"/>
          <w:sz w:val="24"/>
          <w:szCs w:val="24"/>
        </w:rPr>
        <w:t xml:space="preserve"> </w:t>
      </w:r>
      <w:r w:rsidRPr="00D760A3">
        <w:rPr>
          <w:rFonts w:cstheme="minorHAnsi"/>
          <w:sz w:val="24"/>
          <w:szCs w:val="24"/>
        </w:rPr>
        <w:t xml:space="preserve">staniční budovy, </w:t>
      </w:r>
    </w:p>
    <w:p w14:paraId="46E7C2C8" w14:textId="77777777" w:rsidR="004C1AB7" w:rsidRPr="008A41F1" w:rsidRDefault="004C1AB7" w:rsidP="004C1AB7">
      <w:pPr>
        <w:pStyle w:val="Odstavecseseznamem"/>
        <w:jc w:val="both"/>
        <w:rPr>
          <w:rFonts w:cstheme="minorHAnsi"/>
          <w:sz w:val="24"/>
          <w:szCs w:val="24"/>
          <w:lang w:val="en-IE"/>
        </w:rPr>
      </w:pPr>
    </w:p>
    <w:p w14:paraId="4428412E" w14:textId="77777777" w:rsidR="00C76A64" w:rsidRPr="008A41F1" w:rsidRDefault="00C76A64" w:rsidP="00C76A64">
      <w:pPr>
        <w:ind w:firstLine="360"/>
        <w:jc w:val="both"/>
        <w:rPr>
          <w:rFonts w:cstheme="minorHAnsi"/>
          <w:i/>
          <w:sz w:val="24"/>
          <w:szCs w:val="24"/>
          <w:lang w:val="en-IE"/>
        </w:rPr>
      </w:pPr>
      <w:r w:rsidRPr="008A41F1">
        <w:rPr>
          <w:rFonts w:cstheme="minorHAnsi"/>
          <w:i/>
          <w:sz w:val="24"/>
          <w:szCs w:val="24"/>
          <w:lang w:val="en-IE"/>
        </w:rPr>
        <w:t>The following Actions will be supported:</w:t>
      </w:r>
    </w:p>
    <w:p w14:paraId="57596956" w14:textId="77777777" w:rsidR="00C76A64" w:rsidRPr="008A41F1" w:rsidRDefault="00C76A64" w:rsidP="00C76A64">
      <w:pPr>
        <w:pStyle w:val="Odstavecseseznamem"/>
        <w:numPr>
          <w:ilvl w:val="0"/>
          <w:numId w:val="6"/>
        </w:numPr>
        <w:spacing w:after="160" w:line="256" w:lineRule="auto"/>
        <w:jc w:val="both"/>
        <w:rPr>
          <w:rFonts w:cstheme="minorHAnsi"/>
          <w:i/>
          <w:sz w:val="24"/>
          <w:szCs w:val="24"/>
          <w:lang w:val="en-IE"/>
        </w:rPr>
      </w:pPr>
      <w:r w:rsidRPr="008A41F1">
        <w:rPr>
          <w:rFonts w:cstheme="minorHAnsi"/>
          <w:i/>
          <w:sz w:val="24"/>
          <w:szCs w:val="24"/>
          <w:lang w:val="en-IE"/>
        </w:rPr>
        <w:t>construction/upgrading of cross-border and missing links;</w:t>
      </w:r>
    </w:p>
    <w:p w14:paraId="1C2AEA1A" w14:textId="77777777" w:rsidR="00C76A64" w:rsidRPr="008A41F1" w:rsidRDefault="00C76A64" w:rsidP="00C76A64">
      <w:pPr>
        <w:pStyle w:val="Odstavecseseznamem"/>
        <w:numPr>
          <w:ilvl w:val="0"/>
          <w:numId w:val="6"/>
        </w:numPr>
        <w:spacing w:after="160" w:line="256" w:lineRule="auto"/>
        <w:jc w:val="both"/>
        <w:rPr>
          <w:rFonts w:cstheme="minorHAnsi"/>
          <w:i/>
          <w:sz w:val="24"/>
          <w:szCs w:val="24"/>
          <w:lang w:val="en-IE"/>
        </w:rPr>
      </w:pPr>
      <w:r w:rsidRPr="008A41F1">
        <w:rPr>
          <w:rFonts w:cstheme="minorHAnsi"/>
          <w:i/>
          <w:sz w:val="24"/>
          <w:szCs w:val="24"/>
          <w:lang w:val="en-IE"/>
        </w:rPr>
        <w:t>capacity and performance upgrade of existing lines, including removal of level-crossings and upgrades necessary for 740 meters long trains;</w:t>
      </w:r>
    </w:p>
    <w:p w14:paraId="3563A377" w14:textId="77777777" w:rsidR="00C76A64" w:rsidRPr="008A41F1" w:rsidRDefault="00C76A64" w:rsidP="00C76A64">
      <w:pPr>
        <w:pStyle w:val="Odstavecseseznamem"/>
        <w:numPr>
          <w:ilvl w:val="0"/>
          <w:numId w:val="6"/>
        </w:numPr>
        <w:spacing w:after="160" w:line="256" w:lineRule="auto"/>
        <w:jc w:val="both"/>
        <w:rPr>
          <w:rFonts w:cstheme="minorHAnsi"/>
          <w:i/>
          <w:sz w:val="24"/>
          <w:szCs w:val="24"/>
          <w:lang w:val="en-IE"/>
        </w:rPr>
      </w:pPr>
      <w:r w:rsidRPr="008A41F1">
        <w:rPr>
          <w:rFonts w:cstheme="minorHAnsi"/>
          <w:i/>
          <w:sz w:val="24"/>
          <w:szCs w:val="24"/>
          <w:lang w:val="en-IE"/>
        </w:rPr>
        <w:t>capacity increase in nodes, including as regards a better articulation of long-distance and local traffic;</w:t>
      </w:r>
    </w:p>
    <w:p w14:paraId="4A82D2AA" w14:textId="77777777" w:rsidR="00C76A64" w:rsidRPr="008A41F1" w:rsidRDefault="00C76A64" w:rsidP="00C76A64">
      <w:pPr>
        <w:pStyle w:val="Odstavecseseznamem"/>
        <w:numPr>
          <w:ilvl w:val="0"/>
          <w:numId w:val="6"/>
        </w:numPr>
        <w:spacing w:after="160" w:line="256" w:lineRule="auto"/>
        <w:jc w:val="both"/>
        <w:rPr>
          <w:rFonts w:cstheme="minorHAnsi"/>
          <w:i/>
          <w:sz w:val="24"/>
          <w:szCs w:val="24"/>
          <w:lang w:val="en-IE"/>
        </w:rPr>
      </w:pPr>
      <w:proofErr w:type="gramStart"/>
      <w:r w:rsidRPr="008A41F1">
        <w:rPr>
          <w:rFonts w:cstheme="minorHAnsi"/>
          <w:i/>
          <w:sz w:val="24"/>
          <w:szCs w:val="24"/>
          <w:lang w:val="en-IE"/>
        </w:rPr>
        <w:t>interconnections</w:t>
      </w:r>
      <w:proofErr w:type="gramEnd"/>
      <w:r w:rsidRPr="008A41F1">
        <w:rPr>
          <w:rFonts w:cstheme="minorHAnsi"/>
          <w:i/>
          <w:sz w:val="24"/>
          <w:szCs w:val="24"/>
          <w:lang w:val="en-IE"/>
        </w:rPr>
        <w:t xml:space="preserve"> between rail and other modes of transport, in particular inland waterway and maritime transport and actions aimed at the integration of the rail and air networks to make the feeder network for long-haul flights more sustainable. Actions located exclusively within the perimeter of inland ports and maritime ports shall be submitted under those priorities respectively;</w:t>
      </w:r>
    </w:p>
    <w:p w14:paraId="17D893B6" w14:textId="77777777" w:rsidR="00C76A64" w:rsidRPr="008A41F1" w:rsidRDefault="00C76A64" w:rsidP="00C76A64">
      <w:pPr>
        <w:pStyle w:val="Odstavecseseznamem"/>
        <w:numPr>
          <w:ilvl w:val="0"/>
          <w:numId w:val="6"/>
        </w:numPr>
        <w:spacing w:after="160" w:line="256" w:lineRule="auto"/>
        <w:jc w:val="both"/>
        <w:rPr>
          <w:rFonts w:cstheme="minorHAnsi"/>
          <w:i/>
          <w:sz w:val="24"/>
          <w:szCs w:val="24"/>
          <w:lang w:val="en-IE"/>
        </w:rPr>
      </w:pPr>
      <w:r w:rsidRPr="008A41F1">
        <w:rPr>
          <w:rFonts w:cstheme="minorHAnsi"/>
          <w:i/>
          <w:sz w:val="24"/>
          <w:szCs w:val="24"/>
          <w:lang w:val="en-IE"/>
        </w:rPr>
        <w:t>connections of freight terminals to the Core Network;</w:t>
      </w:r>
    </w:p>
    <w:p w14:paraId="6AA75953" w14:textId="77777777" w:rsidR="00C76A64" w:rsidRPr="008A41F1" w:rsidRDefault="00C76A64" w:rsidP="00C76A64">
      <w:pPr>
        <w:pStyle w:val="Odstavecseseznamem"/>
        <w:numPr>
          <w:ilvl w:val="0"/>
          <w:numId w:val="6"/>
        </w:numPr>
        <w:spacing w:after="160" w:line="256" w:lineRule="auto"/>
        <w:jc w:val="both"/>
        <w:rPr>
          <w:rFonts w:cstheme="minorHAnsi"/>
          <w:i/>
          <w:sz w:val="24"/>
          <w:szCs w:val="24"/>
          <w:lang w:val="en-IE"/>
        </w:rPr>
      </w:pPr>
      <w:proofErr w:type="gramStart"/>
      <w:r w:rsidRPr="008A41F1">
        <w:rPr>
          <w:rFonts w:cstheme="minorHAnsi"/>
          <w:i/>
          <w:sz w:val="24"/>
          <w:szCs w:val="24"/>
          <w:lang w:val="en-IE"/>
        </w:rPr>
        <w:t>electrification</w:t>
      </w:r>
      <w:proofErr w:type="gramEnd"/>
      <w:r w:rsidRPr="008A41F1">
        <w:rPr>
          <w:rFonts w:cstheme="minorHAnsi"/>
          <w:i/>
          <w:sz w:val="24"/>
          <w:szCs w:val="24"/>
          <w:lang w:val="en-IE"/>
        </w:rPr>
        <w:t xml:space="preserve"> of line tracks and upgrade of electrification systems.</w:t>
      </w:r>
    </w:p>
    <w:p w14:paraId="311AA570" w14:textId="77777777" w:rsidR="00C76A64" w:rsidRPr="008A41F1" w:rsidRDefault="00C76A64" w:rsidP="00C76A64">
      <w:pPr>
        <w:ind w:left="360"/>
        <w:jc w:val="both"/>
        <w:rPr>
          <w:rFonts w:cstheme="minorHAnsi"/>
          <w:bCs/>
          <w:i/>
          <w:sz w:val="24"/>
          <w:szCs w:val="24"/>
          <w:lang w:val="en-IE"/>
        </w:rPr>
      </w:pPr>
      <w:r w:rsidRPr="008A41F1">
        <w:rPr>
          <w:rFonts w:cstheme="minorHAnsi"/>
          <w:i/>
          <w:sz w:val="24"/>
          <w:szCs w:val="24"/>
          <w:lang w:val="en-IE"/>
        </w:rPr>
        <w:t>Support will not be given to railway stations, except for railway infrastructure components. If the Action includes such components, they shall be presented as a separate work package. Neither shall support be given to activities related to the Class B systems. Actions shall comply with the provisions of Directive 2016/797 on the interoperability of the rail system and with the related Technical Specifications for Interoperability.</w:t>
      </w:r>
      <w:r w:rsidRPr="008A41F1">
        <w:rPr>
          <w:rFonts w:cstheme="minorHAnsi"/>
          <w:b/>
          <w:bCs/>
          <w:i/>
          <w:sz w:val="24"/>
          <w:szCs w:val="24"/>
          <w:lang w:val="en-IE"/>
        </w:rPr>
        <w:t xml:space="preserve"> </w:t>
      </w:r>
      <w:r w:rsidRPr="008A41F1">
        <w:rPr>
          <w:rFonts w:cstheme="minorHAnsi"/>
          <w:bCs/>
          <w:i/>
          <w:sz w:val="24"/>
          <w:szCs w:val="24"/>
          <w:lang w:val="en-IE"/>
        </w:rPr>
        <w:t xml:space="preserve">Where relevant, Actions shall also be compatible with the alignment of operating procedures </w:t>
      </w:r>
      <w:proofErr w:type="spellStart"/>
      <w:r w:rsidRPr="008A41F1">
        <w:rPr>
          <w:rFonts w:cstheme="minorHAnsi"/>
          <w:bCs/>
          <w:i/>
          <w:sz w:val="24"/>
          <w:szCs w:val="24"/>
          <w:lang w:val="en-IE"/>
        </w:rPr>
        <w:t>accross</w:t>
      </w:r>
      <w:proofErr w:type="spellEnd"/>
      <w:r w:rsidRPr="008A41F1">
        <w:rPr>
          <w:rFonts w:cstheme="minorHAnsi"/>
          <w:bCs/>
          <w:i/>
          <w:sz w:val="24"/>
          <w:szCs w:val="24"/>
          <w:lang w:val="en-IE"/>
        </w:rPr>
        <w:t xml:space="preserve"> borders in order to ensure the most effective use of the supported infrastructure.</w:t>
      </w:r>
    </w:p>
    <w:p w14:paraId="66497CD2" w14:textId="77777777" w:rsidR="00C76A64" w:rsidRPr="008A41F1" w:rsidRDefault="00C76A64" w:rsidP="00C76A64">
      <w:pPr>
        <w:ind w:left="360"/>
        <w:jc w:val="both"/>
        <w:rPr>
          <w:rFonts w:cstheme="minorHAnsi"/>
          <w:b/>
          <w:bCs/>
          <w:sz w:val="24"/>
          <w:szCs w:val="24"/>
          <w:lang w:val="en-IE"/>
        </w:rPr>
      </w:pPr>
    </w:p>
    <w:p w14:paraId="2C467AE7" w14:textId="77777777" w:rsidR="00C76A64" w:rsidRPr="008A41F1" w:rsidRDefault="004C1AB7" w:rsidP="00C76A64">
      <w:pPr>
        <w:ind w:firstLine="360"/>
        <w:jc w:val="both"/>
        <w:rPr>
          <w:rFonts w:cstheme="minorHAnsi"/>
          <w:b/>
          <w:bCs/>
          <w:sz w:val="24"/>
          <w:szCs w:val="24"/>
          <w:lang w:val="en-IE"/>
        </w:rPr>
      </w:pPr>
      <w:r w:rsidRPr="00D760A3">
        <w:rPr>
          <w:rFonts w:cstheme="minorHAnsi"/>
          <w:b/>
          <w:bCs/>
          <w:sz w:val="24"/>
          <w:szCs w:val="24"/>
        </w:rPr>
        <w:t>Vnitrozemské vodní cesty a přístav</w:t>
      </w:r>
      <w:r w:rsidRPr="008A41F1">
        <w:rPr>
          <w:rFonts w:cstheme="minorHAnsi"/>
          <w:b/>
          <w:bCs/>
          <w:sz w:val="24"/>
          <w:szCs w:val="24"/>
          <w:lang w:val="en-IE"/>
        </w:rPr>
        <w:t>y (</w:t>
      </w:r>
      <w:r w:rsidR="00C76A64" w:rsidRPr="008A41F1">
        <w:rPr>
          <w:rFonts w:cstheme="minorHAnsi"/>
          <w:b/>
          <w:bCs/>
          <w:sz w:val="24"/>
          <w:szCs w:val="24"/>
          <w:lang w:val="en-IE"/>
        </w:rPr>
        <w:t>Inland waterways and inland ports</w:t>
      </w:r>
      <w:r w:rsidRPr="008A41F1">
        <w:rPr>
          <w:rFonts w:cstheme="minorHAnsi"/>
          <w:b/>
          <w:bCs/>
          <w:sz w:val="24"/>
          <w:szCs w:val="24"/>
          <w:lang w:val="en-IE"/>
        </w:rPr>
        <w:t>)</w:t>
      </w:r>
    </w:p>
    <w:p w14:paraId="26E5B800" w14:textId="79409A18" w:rsidR="004C1AB7" w:rsidRPr="00D760A3" w:rsidRDefault="004C1AB7" w:rsidP="00C76A64">
      <w:pPr>
        <w:ind w:firstLine="360"/>
        <w:jc w:val="both"/>
        <w:rPr>
          <w:rFonts w:cstheme="minorHAnsi"/>
          <w:sz w:val="24"/>
          <w:szCs w:val="24"/>
        </w:rPr>
      </w:pPr>
      <w:r w:rsidRPr="00D760A3">
        <w:rPr>
          <w:rFonts w:cstheme="minorHAnsi"/>
          <w:sz w:val="24"/>
          <w:szCs w:val="24"/>
        </w:rPr>
        <w:t>Podporované a</w:t>
      </w:r>
      <w:r w:rsidR="00D760A3">
        <w:rPr>
          <w:rFonts w:cstheme="minorHAnsi"/>
          <w:sz w:val="24"/>
          <w:szCs w:val="24"/>
        </w:rPr>
        <w:t>k</w:t>
      </w:r>
      <w:r w:rsidRPr="00D760A3">
        <w:rPr>
          <w:rFonts w:cstheme="minorHAnsi"/>
          <w:sz w:val="24"/>
          <w:szCs w:val="24"/>
        </w:rPr>
        <w:t>tivity:</w:t>
      </w:r>
    </w:p>
    <w:p w14:paraId="55D0A7CC" w14:textId="77777777" w:rsidR="004C1AB7" w:rsidRPr="00D760A3" w:rsidRDefault="004C1AB7" w:rsidP="004C1AB7">
      <w:pPr>
        <w:pStyle w:val="Odstavecseseznamem"/>
        <w:numPr>
          <w:ilvl w:val="0"/>
          <w:numId w:val="3"/>
        </w:numPr>
        <w:jc w:val="both"/>
        <w:rPr>
          <w:rFonts w:cstheme="minorHAnsi"/>
          <w:sz w:val="24"/>
          <w:szCs w:val="24"/>
        </w:rPr>
      </w:pPr>
      <w:r w:rsidRPr="00D760A3">
        <w:rPr>
          <w:rFonts w:cstheme="minorHAnsi"/>
          <w:sz w:val="24"/>
          <w:szCs w:val="24"/>
        </w:rPr>
        <w:t>zlepšení plavebních podmínek</w:t>
      </w:r>
    </w:p>
    <w:p w14:paraId="40C2281B" w14:textId="77777777" w:rsidR="004C1AB7" w:rsidRPr="00D760A3" w:rsidRDefault="004C1AB7" w:rsidP="004C1AB7">
      <w:pPr>
        <w:pStyle w:val="Odstavecseseznamem"/>
        <w:numPr>
          <w:ilvl w:val="0"/>
          <w:numId w:val="3"/>
        </w:numPr>
        <w:jc w:val="both"/>
        <w:rPr>
          <w:rFonts w:cstheme="minorHAnsi"/>
          <w:sz w:val="24"/>
          <w:szCs w:val="24"/>
        </w:rPr>
      </w:pPr>
      <w:r w:rsidRPr="00D760A3">
        <w:rPr>
          <w:rFonts w:cstheme="minorHAnsi"/>
          <w:sz w:val="24"/>
          <w:szCs w:val="24"/>
        </w:rPr>
        <w:t>výstavba nových vodních cest</w:t>
      </w:r>
    </w:p>
    <w:p w14:paraId="73897C55" w14:textId="77777777" w:rsidR="004C1AB7" w:rsidRPr="00D760A3" w:rsidRDefault="004C1AB7" w:rsidP="004C1AB7">
      <w:pPr>
        <w:pStyle w:val="Odstavecseseznamem"/>
        <w:numPr>
          <w:ilvl w:val="0"/>
          <w:numId w:val="3"/>
        </w:numPr>
        <w:jc w:val="both"/>
        <w:rPr>
          <w:rFonts w:cstheme="minorHAnsi"/>
          <w:sz w:val="24"/>
          <w:szCs w:val="24"/>
        </w:rPr>
      </w:pPr>
      <w:r w:rsidRPr="00D760A3">
        <w:rPr>
          <w:rFonts w:cstheme="minorHAnsi"/>
          <w:sz w:val="24"/>
          <w:szCs w:val="24"/>
        </w:rPr>
        <w:t>výstavba zdymadel a pohyblivých mostů</w:t>
      </w:r>
    </w:p>
    <w:p w14:paraId="7C73B1A0" w14:textId="77777777" w:rsidR="004C1AB7" w:rsidRPr="00D760A3" w:rsidRDefault="004C1AB7" w:rsidP="004C1AB7">
      <w:pPr>
        <w:pStyle w:val="Odstavecseseznamem"/>
        <w:numPr>
          <w:ilvl w:val="0"/>
          <w:numId w:val="3"/>
        </w:numPr>
        <w:jc w:val="both"/>
        <w:rPr>
          <w:rFonts w:cstheme="minorHAnsi"/>
          <w:sz w:val="24"/>
          <w:szCs w:val="24"/>
        </w:rPr>
      </w:pPr>
      <w:r w:rsidRPr="00D760A3">
        <w:rPr>
          <w:rFonts w:cstheme="minorHAnsi"/>
          <w:sz w:val="24"/>
          <w:szCs w:val="24"/>
        </w:rPr>
        <w:t>zvyšování podjezdné výšky mostů</w:t>
      </w:r>
    </w:p>
    <w:p w14:paraId="7D7244ED" w14:textId="77777777" w:rsidR="004C1AB7" w:rsidRPr="00D760A3" w:rsidRDefault="004C1AB7" w:rsidP="004C1AB7">
      <w:pPr>
        <w:pStyle w:val="Odstavecseseznamem"/>
        <w:numPr>
          <w:ilvl w:val="0"/>
          <w:numId w:val="3"/>
        </w:numPr>
        <w:jc w:val="both"/>
        <w:rPr>
          <w:rFonts w:cstheme="minorHAnsi"/>
          <w:sz w:val="24"/>
          <w:szCs w:val="24"/>
        </w:rPr>
      </w:pPr>
      <w:r w:rsidRPr="00D760A3">
        <w:rPr>
          <w:rFonts w:cstheme="minorHAnsi"/>
          <w:sz w:val="24"/>
          <w:szCs w:val="24"/>
        </w:rPr>
        <w:t>vybavení přístavů</w:t>
      </w:r>
    </w:p>
    <w:p w14:paraId="23CB3767" w14:textId="77777777" w:rsidR="004C1AB7" w:rsidRPr="00D760A3" w:rsidRDefault="004C1AB7" w:rsidP="004C1AB7">
      <w:pPr>
        <w:ind w:left="360"/>
        <w:jc w:val="both"/>
        <w:rPr>
          <w:rFonts w:cstheme="minorHAnsi"/>
          <w:sz w:val="24"/>
          <w:szCs w:val="24"/>
        </w:rPr>
      </w:pPr>
      <w:r w:rsidRPr="00D760A3">
        <w:rPr>
          <w:rFonts w:cstheme="minorHAnsi"/>
          <w:sz w:val="24"/>
          <w:szCs w:val="24"/>
        </w:rPr>
        <w:t>Nebude podporována infrastruktura pro výletní plavbu.</w:t>
      </w:r>
    </w:p>
    <w:p w14:paraId="46193545" w14:textId="77777777" w:rsidR="004C1AB7" w:rsidRPr="008A41F1" w:rsidRDefault="004C1AB7" w:rsidP="004C1AB7">
      <w:pPr>
        <w:ind w:left="360"/>
        <w:jc w:val="both"/>
        <w:rPr>
          <w:rFonts w:cstheme="minorHAnsi"/>
          <w:sz w:val="24"/>
          <w:szCs w:val="24"/>
          <w:lang w:val="en-IE"/>
        </w:rPr>
      </w:pPr>
    </w:p>
    <w:p w14:paraId="501D8383" w14:textId="77777777" w:rsidR="00C76A64" w:rsidRPr="008A41F1" w:rsidRDefault="00C76A64" w:rsidP="00C76A64">
      <w:pPr>
        <w:ind w:firstLine="360"/>
        <w:jc w:val="both"/>
        <w:rPr>
          <w:rFonts w:cstheme="minorHAnsi"/>
          <w:i/>
          <w:sz w:val="24"/>
          <w:szCs w:val="24"/>
          <w:lang w:val="en-IE"/>
        </w:rPr>
      </w:pPr>
      <w:r w:rsidRPr="008A41F1">
        <w:rPr>
          <w:rFonts w:cstheme="minorHAnsi"/>
          <w:i/>
          <w:sz w:val="24"/>
          <w:szCs w:val="24"/>
          <w:lang w:val="en-IE"/>
        </w:rPr>
        <w:t>The following Actions will be supported:</w:t>
      </w:r>
    </w:p>
    <w:p w14:paraId="174B2490" w14:textId="77777777" w:rsidR="00C76A64" w:rsidRPr="008A41F1" w:rsidRDefault="00C76A64" w:rsidP="00C76A64">
      <w:pPr>
        <w:ind w:firstLine="360"/>
        <w:jc w:val="both"/>
        <w:rPr>
          <w:rFonts w:cstheme="minorHAnsi"/>
          <w:i/>
          <w:sz w:val="24"/>
          <w:szCs w:val="24"/>
          <w:lang w:val="en-IE"/>
        </w:rPr>
      </w:pPr>
      <w:r w:rsidRPr="008A41F1">
        <w:rPr>
          <w:rFonts w:cstheme="minorHAnsi"/>
          <w:i/>
          <w:sz w:val="24"/>
          <w:szCs w:val="24"/>
          <w:lang w:val="en-IE"/>
        </w:rPr>
        <w:t>For inland waterways:</w:t>
      </w:r>
    </w:p>
    <w:p w14:paraId="38C67856" w14:textId="77777777" w:rsidR="00C76A64" w:rsidRPr="008A41F1" w:rsidRDefault="00C76A64" w:rsidP="00C76A64">
      <w:pPr>
        <w:pStyle w:val="Odstavecseseznamem"/>
        <w:numPr>
          <w:ilvl w:val="0"/>
          <w:numId w:val="7"/>
        </w:numPr>
        <w:spacing w:after="160" w:line="256" w:lineRule="auto"/>
        <w:jc w:val="both"/>
        <w:rPr>
          <w:rFonts w:cstheme="minorHAnsi"/>
          <w:i/>
          <w:sz w:val="24"/>
          <w:szCs w:val="24"/>
          <w:lang w:val="en-IE"/>
        </w:rPr>
      </w:pPr>
      <w:proofErr w:type="gramStart"/>
      <w:r w:rsidRPr="008A41F1">
        <w:rPr>
          <w:rFonts w:cstheme="minorHAnsi"/>
          <w:i/>
          <w:sz w:val="24"/>
          <w:szCs w:val="24"/>
          <w:lang w:val="en-IE"/>
        </w:rPr>
        <w:t>upgrade</w:t>
      </w:r>
      <w:proofErr w:type="gramEnd"/>
      <w:r w:rsidRPr="008A41F1">
        <w:rPr>
          <w:rFonts w:cstheme="minorHAnsi"/>
          <w:i/>
          <w:sz w:val="24"/>
          <w:szCs w:val="24"/>
          <w:lang w:val="en-IE"/>
        </w:rPr>
        <w:t xml:space="preserve"> of waterways and water-side infrastructure in order to achieve stable or improved navigation conditions, performance and/or more capacity for the passage of vessels. This includes improved infrastructure service levels;</w:t>
      </w:r>
    </w:p>
    <w:p w14:paraId="310354C8" w14:textId="77777777" w:rsidR="00C76A64" w:rsidRPr="008A41F1" w:rsidRDefault="00C76A64" w:rsidP="00C76A64">
      <w:pPr>
        <w:pStyle w:val="Odstavecseseznamem"/>
        <w:numPr>
          <w:ilvl w:val="0"/>
          <w:numId w:val="7"/>
        </w:numPr>
        <w:spacing w:after="160" w:line="256" w:lineRule="auto"/>
        <w:jc w:val="both"/>
        <w:rPr>
          <w:rFonts w:cstheme="minorHAnsi"/>
          <w:i/>
          <w:sz w:val="24"/>
          <w:szCs w:val="24"/>
          <w:lang w:val="en-IE"/>
        </w:rPr>
      </w:pPr>
      <w:r w:rsidRPr="008A41F1">
        <w:rPr>
          <w:rFonts w:cstheme="minorHAnsi"/>
          <w:i/>
          <w:sz w:val="24"/>
          <w:szCs w:val="24"/>
          <w:lang w:val="en-IE"/>
        </w:rPr>
        <w:t>creation of new waterways;</w:t>
      </w:r>
    </w:p>
    <w:p w14:paraId="67D858D1" w14:textId="77777777" w:rsidR="00C76A64" w:rsidRPr="008A41F1" w:rsidRDefault="00C76A64" w:rsidP="00C76A64">
      <w:pPr>
        <w:pStyle w:val="Odstavecseseznamem"/>
        <w:numPr>
          <w:ilvl w:val="0"/>
          <w:numId w:val="7"/>
        </w:numPr>
        <w:spacing w:after="160" w:line="256" w:lineRule="auto"/>
        <w:jc w:val="both"/>
        <w:rPr>
          <w:rFonts w:cstheme="minorHAnsi"/>
          <w:i/>
          <w:sz w:val="24"/>
          <w:szCs w:val="24"/>
          <w:lang w:val="en-IE"/>
        </w:rPr>
      </w:pPr>
      <w:r w:rsidRPr="008A41F1">
        <w:rPr>
          <w:rFonts w:cstheme="minorHAnsi"/>
          <w:i/>
          <w:sz w:val="24"/>
          <w:szCs w:val="24"/>
          <w:lang w:val="en-IE"/>
        </w:rPr>
        <w:t>construction/upgrading of locks and movable bridges (including the deployment of remote control systems), to improve the passage of vessels and convoys;</w:t>
      </w:r>
    </w:p>
    <w:p w14:paraId="71D433CC" w14:textId="77777777" w:rsidR="00C76A64" w:rsidRPr="008A41F1" w:rsidRDefault="00C76A64" w:rsidP="00C76A64">
      <w:pPr>
        <w:pStyle w:val="Odstavecseseznamem"/>
        <w:numPr>
          <w:ilvl w:val="0"/>
          <w:numId w:val="7"/>
        </w:numPr>
        <w:spacing w:after="160" w:line="256" w:lineRule="auto"/>
        <w:jc w:val="both"/>
        <w:rPr>
          <w:rFonts w:cstheme="minorHAnsi"/>
          <w:i/>
          <w:sz w:val="24"/>
          <w:szCs w:val="24"/>
          <w:lang w:val="en-IE"/>
        </w:rPr>
      </w:pPr>
      <w:r w:rsidRPr="008A41F1">
        <w:rPr>
          <w:rFonts w:cstheme="minorHAnsi"/>
          <w:i/>
          <w:sz w:val="24"/>
          <w:szCs w:val="24"/>
          <w:lang w:val="en-IE"/>
        </w:rPr>
        <w:t>increasing of under-bridge clearance;</w:t>
      </w:r>
    </w:p>
    <w:p w14:paraId="74D40C32" w14:textId="77777777" w:rsidR="00C76A64" w:rsidRPr="008A41F1" w:rsidRDefault="00C76A64" w:rsidP="00C76A64">
      <w:pPr>
        <w:pStyle w:val="Odstavecseseznamem"/>
        <w:numPr>
          <w:ilvl w:val="0"/>
          <w:numId w:val="7"/>
        </w:numPr>
        <w:spacing w:after="160" w:line="256" w:lineRule="auto"/>
        <w:jc w:val="both"/>
        <w:rPr>
          <w:rFonts w:cstheme="minorHAnsi"/>
          <w:i/>
          <w:sz w:val="24"/>
          <w:szCs w:val="24"/>
          <w:lang w:val="en-IE"/>
        </w:rPr>
      </w:pPr>
      <w:r w:rsidRPr="008A41F1">
        <w:rPr>
          <w:rFonts w:cstheme="minorHAnsi"/>
          <w:i/>
          <w:sz w:val="24"/>
          <w:szCs w:val="24"/>
          <w:lang w:val="en-IE"/>
        </w:rPr>
        <w:t>ensuring year-round navigability e.g. by means of hydrological services, ice-breaking facilities and capital dredging;</w:t>
      </w:r>
    </w:p>
    <w:p w14:paraId="05E4DA5F" w14:textId="77777777" w:rsidR="00C76A64" w:rsidRPr="008A41F1" w:rsidRDefault="00C76A64" w:rsidP="00C76A64">
      <w:pPr>
        <w:pStyle w:val="Odstavecseseznamem"/>
        <w:numPr>
          <w:ilvl w:val="0"/>
          <w:numId w:val="7"/>
        </w:numPr>
        <w:spacing w:after="160" w:line="256" w:lineRule="auto"/>
        <w:jc w:val="both"/>
        <w:rPr>
          <w:rFonts w:cstheme="minorHAnsi"/>
          <w:i/>
          <w:sz w:val="24"/>
          <w:szCs w:val="24"/>
          <w:lang w:val="en-IE"/>
        </w:rPr>
      </w:pPr>
      <w:r w:rsidRPr="008A41F1">
        <w:rPr>
          <w:rFonts w:cstheme="minorHAnsi"/>
          <w:i/>
          <w:sz w:val="24"/>
          <w:szCs w:val="24"/>
          <w:lang w:val="en-IE"/>
        </w:rPr>
        <w:t>creation and/or upgrade of infrastructure for mooring and waterborne operations along a waterway;</w:t>
      </w:r>
    </w:p>
    <w:p w14:paraId="379A19E5" w14:textId="77777777" w:rsidR="00C76A64" w:rsidRPr="008A41F1" w:rsidRDefault="00C76A64" w:rsidP="00D760A3">
      <w:pPr>
        <w:pStyle w:val="Odstavecseseznamem"/>
        <w:numPr>
          <w:ilvl w:val="0"/>
          <w:numId w:val="7"/>
        </w:numPr>
        <w:spacing w:line="257" w:lineRule="auto"/>
        <w:ind w:left="714" w:hanging="357"/>
        <w:jc w:val="both"/>
        <w:rPr>
          <w:rFonts w:cstheme="minorHAnsi"/>
          <w:i/>
          <w:sz w:val="24"/>
          <w:szCs w:val="24"/>
          <w:lang w:val="en-IE"/>
        </w:rPr>
      </w:pPr>
      <w:proofErr w:type="gramStart"/>
      <w:r w:rsidRPr="008A41F1">
        <w:rPr>
          <w:rFonts w:cstheme="minorHAnsi"/>
          <w:i/>
          <w:sz w:val="24"/>
          <w:szCs w:val="24"/>
          <w:lang w:val="en-IE"/>
        </w:rPr>
        <w:t>interconnection</w:t>
      </w:r>
      <w:proofErr w:type="gramEnd"/>
      <w:r w:rsidRPr="008A41F1">
        <w:rPr>
          <w:rFonts w:cstheme="minorHAnsi"/>
          <w:i/>
          <w:sz w:val="24"/>
          <w:szCs w:val="24"/>
          <w:lang w:val="en-IE"/>
        </w:rPr>
        <w:t xml:space="preserve"> between inland waterways and maritime transport.</w:t>
      </w:r>
    </w:p>
    <w:p w14:paraId="2DE0468D" w14:textId="77777777" w:rsidR="00C76A64" w:rsidRPr="008A41F1" w:rsidRDefault="00C76A64" w:rsidP="00C76A64">
      <w:pPr>
        <w:ind w:firstLine="360"/>
        <w:jc w:val="both"/>
        <w:rPr>
          <w:rFonts w:cstheme="minorHAnsi"/>
          <w:i/>
          <w:sz w:val="24"/>
          <w:szCs w:val="24"/>
          <w:lang w:val="en-IE"/>
        </w:rPr>
      </w:pPr>
      <w:r w:rsidRPr="008A41F1">
        <w:rPr>
          <w:rFonts w:cstheme="minorHAnsi"/>
          <w:i/>
          <w:sz w:val="24"/>
          <w:szCs w:val="24"/>
          <w:lang w:val="en-IE"/>
        </w:rPr>
        <w:t>For inland ports:</w:t>
      </w:r>
    </w:p>
    <w:p w14:paraId="0FFF5954" w14:textId="77777777" w:rsidR="00C76A64" w:rsidRPr="008A41F1" w:rsidRDefault="00C76A64" w:rsidP="00C76A64">
      <w:pPr>
        <w:pStyle w:val="Odstavecseseznamem"/>
        <w:numPr>
          <w:ilvl w:val="0"/>
          <w:numId w:val="8"/>
        </w:numPr>
        <w:spacing w:after="160" w:line="256" w:lineRule="auto"/>
        <w:jc w:val="both"/>
        <w:rPr>
          <w:rFonts w:cstheme="minorHAnsi"/>
          <w:i/>
          <w:sz w:val="24"/>
          <w:szCs w:val="24"/>
          <w:lang w:val="en-IE"/>
        </w:rPr>
      </w:pPr>
      <w:r w:rsidRPr="008A41F1">
        <w:rPr>
          <w:rFonts w:cstheme="minorHAnsi"/>
          <w:i/>
          <w:sz w:val="24"/>
          <w:szCs w:val="24"/>
          <w:lang w:val="en-IE"/>
        </w:rPr>
        <w:t>access, including safe access through navigational aids, of inland ports to inland waterways;</w:t>
      </w:r>
    </w:p>
    <w:p w14:paraId="5212B7A4" w14:textId="77777777" w:rsidR="00C76A64" w:rsidRPr="008A41F1" w:rsidRDefault="00C76A64" w:rsidP="00C76A64">
      <w:pPr>
        <w:pStyle w:val="Odstavecseseznamem"/>
        <w:numPr>
          <w:ilvl w:val="0"/>
          <w:numId w:val="8"/>
        </w:numPr>
        <w:spacing w:after="160" w:line="256" w:lineRule="auto"/>
        <w:jc w:val="both"/>
        <w:rPr>
          <w:rFonts w:cstheme="minorHAnsi"/>
          <w:i/>
          <w:sz w:val="24"/>
          <w:szCs w:val="24"/>
          <w:lang w:val="en-IE"/>
        </w:rPr>
      </w:pPr>
      <w:r w:rsidRPr="008A41F1">
        <w:rPr>
          <w:rFonts w:cstheme="minorHAnsi"/>
          <w:i/>
          <w:sz w:val="24"/>
          <w:szCs w:val="24"/>
          <w:lang w:val="en-IE"/>
        </w:rPr>
        <w:t>basic and water-side infrastructure in inland ports, including shore-side electricity supply;</w:t>
      </w:r>
    </w:p>
    <w:p w14:paraId="331BFD66" w14:textId="77777777" w:rsidR="00C76A64" w:rsidRPr="008A41F1" w:rsidRDefault="00C76A64" w:rsidP="00C76A64">
      <w:pPr>
        <w:pStyle w:val="Odstavecseseznamem"/>
        <w:numPr>
          <w:ilvl w:val="0"/>
          <w:numId w:val="8"/>
        </w:numPr>
        <w:spacing w:after="160" w:line="256" w:lineRule="auto"/>
        <w:jc w:val="both"/>
        <w:rPr>
          <w:rFonts w:cstheme="minorHAnsi"/>
          <w:i/>
          <w:sz w:val="24"/>
          <w:szCs w:val="24"/>
          <w:lang w:val="en-IE"/>
        </w:rPr>
      </w:pPr>
      <w:r w:rsidRPr="008A41F1">
        <w:rPr>
          <w:rFonts w:cstheme="minorHAnsi"/>
          <w:i/>
          <w:sz w:val="24"/>
          <w:szCs w:val="24"/>
          <w:lang w:val="en-IE"/>
        </w:rPr>
        <w:t>port reception facilities for oil and other waste (including residues from exhaust gas cleaning systems) and infrastructure for degassing vessels to meet environmental requirements;</w:t>
      </w:r>
    </w:p>
    <w:p w14:paraId="53D4FE55" w14:textId="77777777" w:rsidR="00C76A64" w:rsidRPr="008A41F1" w:rsidRDefault="00C76A64" w:rsidP="00C76A64">
      <w:pPr>
        <w:pStyle w:val="Odstavecseseznamem"/>
        <w:numPr>
          <w:ilvl w:val="0"/>
          <w:numId w:val="8"/>
        </w:numPr>
        <w:spacing w:after="160" w:line="256" w:lineRule="auto"/>
        <w:jc w:val="both"/>
        <w:rPr>
          <w:rFonts w:cstheme="minorHAnsi"/>
          <w:i/>
          <w:sz w:val="24"/>
          <w:szCs w:val="24"/>
          <w:lang w:val="en-IE"/>
        </w:rPr>
      </w:pPr>
      <w:r w:rsidRPr="008A41F1">
        <w:rPr>
          <w:rFonts w:cstheme="minorHAnsi"/>
          <w:i/>
          <w:sz w:val="24"/>
          <w:szCs w:val="24"/>
          <w:lang w:val="en-IE"/>
        </w:rPr>
        <w:t>providing or improving road/rail access and connections within inland ports;</w:t>
      </w:r>
    </w:p>
    <w:p w14:paraId="2D2DD946" w14:textId="77777777" w:rsidR="00C76A64" w:rsidRPr="008A41F1" w:rsidRDefault="00C76A64" w:rsidP="00C76A64">
      <w:pPr>
        <w:pStyle w:val="Odstavecseseznamem"/>
        <w:numPr>
          <w:ilvl w:val="0"/>
          <w:numId w:val="8"/>
        </w:numPr>
        <w:spacing w:after="160" w:line="256" w:lineRule="auto"/>
        <w:jc w:val="both"/>
        <w:rPr>
          <w:rFonts w:cstheme="minorHAnsi"/>
          <w:i/>
          <w:sz w:val="24"/>
          <w:szCs w:val="24"/>
          <w:lang w:val="en-IE"/>
        </w:rPr>
      </w:pPr>
      <w:proofErr w:type="gramStart"/>
      <w:r w:rsidRPr="008A41F1">
        <w:rPr>
          <w:rFonts w:cstheme="minorHAnsi"/>
          <w:i/>
          <w:sz w:val="24"/>
          <w:szCs w:val="24"/>
          <w:lang w:val="en-IE"/>
        </w:rPr>
        <w:t>ensuring</w:t>
      </w:r>
      <w:proofErr w:type="gramEnd"/>
      <w:r w:rsidRPr="008A41F1">
        <w:rPr>
          <w:rFonts w:cstheme="minorHAnsi"/>
          <w:i/>
          <w:sz w:val="24"/>
          <w:szCs w:val="24"/>
          <w:lang w:val="en-IE"/>
        </w:rPr>
        <w:t xml:space="preserve"> year-round navigability by means of e.g. hydrological services, ice-breaking facilities and dredging of the port and port approaches.</w:t>
      </w:r>
    </w:p>
    <w:p w14:paraId="52F51677" w14:textId="77777777" w:rsidR="00C76A64" w:rsidRPr="008A41F1" w:rsidRDefault="00C76A64" w:rsidP="00C76A64">
      <w:pPr>
        <w:ind w:left="360"/>
        <w:jc w:val="both"/>
        <w:rPr>
          <w:rFonts w:cstheme="minorHAnsi"/>
          <w:i/>
          <w:sz w:val="24"/>
          <w:szCs w:val="24"/>
          <w:lang w:val="en-IE"/>
        </w:rPr>
      </w:pPr>
      <w:r w:rsidRPr="008A41F1">
        <w:rPr>
          <w:rFonts w:cstheme="minorHAnsi"/>
          <w:i/>
          <w:sz w:val="24"/>
          <w:szCs w:val="24"/>
          <w:lang w:val="en-IE"/>
        </w:rPr>
        <w:t>Water-side infrastructure development projects shall mean infrastructure that enhances the navigability capacity in the meaning of Articles 15 and 16 of the Regulation (EU) No 1315/2013 or improves the multimodal connection of waterborne transport operations. This excludes infrastructure that does not directly benefit waterborne transport operations.</w:t>
      </w:r>
    </w:p>
    <w:p w14:paraId="0073E1DF" w14:textId="2F0DB624" w:rsidR="00C76A64" w:rsidRPr="008A41F1" w:rsidRDefault="00C76A64" w:rsidP="00C76A64">
      <w:pPr>
        <w:ind w:left="360"/>
        <w:jc w:val="both"/>
        <w:rPr>
          <w:rFonts w:cstheme="minorHAnsi"/>
          <w:i/>
          <w:sz w:val="24"/>
          <w:szCs w:val="24"/>
          <w:lang w:val="en-IE"/>
        </w:rPr>
      </w:pPr>
      <w:r w:rsidRPr="008A41F1">
        <w:rPr>
          <w:rFonts w:cstheme="minorHAnsi"/>
          <w:i/>
          <w:sz w:val="24"/>
          <w:szCs w:val="24"/>
          <w:lang w:val="en-IE"/>
        </w:rPr>
        <w:t>Support will not be given to infrastructure dedicated for cruise ships, except as regards shore-side electricity supply.</w:t>
      </w:r>
      <w:r w:rsidR="00D760A3">
        <w:rPr>
          <w:rFonts w:cstheme="minorHAnsi"/>
          <w:i/>
          <w:sz w:val="24"/>
          <w:szCs w:val="24"/>
          <w:lang w:val="en-IE"/>
        </w:rPr>
        <w:t xml:space="preserve"> </w:t>
      </w:r>
      <w:r w:rsidRPr="008A41F1">
        <w:rPr>
          <w:rFonts w:cstheme="minorHAnsi"/>
          <w:i/>
          <w:sz w:val="24"/>
          <w:szCs w:val="24"/>
          <w:lang w:val="en-IE"/>
        </w:rPr>
        <w:t>Hinterland connections to the inland ports are covered by the respective transport mode priorities.</w:t>
      </w:r>
    </w:p>
    <w:p w14:paraId="78ACD5F1" w14:textId="77777777" w:rsidR="00C76A64" w:rsidRPr="008A41F1" w:rsidRDefault="00C76A64" w:rsidP="00C76A64">
      <w:pPr>
        <w:ind w:left="360"/>
        <w:jc w:val="both"/>
        <w:rPr>
          <w:rFonts w:cstheme="minorHAnsi"/>
          <w:sz w:val="24"/>
          <w:szCs w:val="24"/>
          <w:lang w:val="en-IE"/>
        </w:rPr>
      </w:pPr>
    </w:p>
    <w:p w14:paraId="199865A8" w14:textId="77777777" w:rsidR="00C76A64" w:rsidRPr="008A41F1" w:rsidRDefault="0001761A" w:rsidP="00C76A64">
      <w:pPr>
        <w:ind w:left="360"/>
        <w:jc w:val="both"/>
        <w:rPr>
          <w:rFonts w:cstheme="minorHAnsi"/>
          <w:b/>
          <w:bCs/>
          <w:sz w:val="24"/>
          <w:szCs w:val="24"/>
          <w:lang w:val="en-IE"/>
        </w:rPr>
      </w:pPr>
      <w:r w:rsidRPr="00D760A3">
        <w:rPr>
          <w:rFonts w:cstheme="minorHAnsi"/>
          <w:b/>
          <w:bCs/>
          <w:sz w:val="24"/>
          <w:szCs w:val="24"/>
        </w:rPr>
        <w:t>Námořní přístavy</w:t>
      </w:r>
      <w:r w:rsidRPr="008A41F1">
        <w:rPr>
          <w:rFonts w:cstheme="minorHAnsi"/>
          <w:b/>
          <w:bCs/>
          <w:sz w:val="24"/>
          <w:szCs w:val="24"/>
          <w:lang w:val="en-IE"/>
        </w:rPr>
        <w:t xml:space="preserve"> </w:t>
      </w:r>
      <w:r w:rsidRPr="008A41F1">
        <w:rPr>
          <w:rFonts w:cstheme="minorHAnsi"/>
          <w:bCs/>
          <w:i/>
          <w:sz w:val="24"/>
          <w:szCs w:val="24"/>
          <w:lang w:val="en-IE"/>
        </w:rPr>
        <w:t>(</w:t>
      </w:r>
      <w:r w:rsidR="00C76A64" w:rsidRPr="008A41F1">
        <w:rPr>
          <w:rFonts w:cstheme="minorHAnsi"/>
          <w:bCs/>
          <w:i/>
          <w:sz w:val="24"/>
          <w:szCs w:val="24"/>
          <w:lang w:val="en-IE"/>
        </w:rPr>
        <w:t>Maritime ports</w:t>
      </w:r>
      <w:r w:rsidRPr="008A41F1">
        <w:rPr>
          <w:rFonts w:cstheme="minorHAnsi"/>
          <w:bCs/>
          <w:i/>
          <w:sz w:val="24"/>
          <w:szCs w:val="24"/>
          <w:lang w:val="en-IE"/>
        </w:rPr>
        <w:t>)</w:t>
      </w:r>
    </w:p>
    <w:p w14:paraId="06809AA7" w14:textId="77777777" w:rsidR="0001761A" w:rsidRPr="00D760A3" w:rsidRDefault="0001761A" w:rsidP="00C76A64">
      <w:pPr>
        <w:ind w:left="360"/>
        <w:jc w:val="both"/>
        <w:rPr>
          <w:rFonts w:cstheme="minorHAnsi"/>
          <w:sz w:val="24"/>
          <w:szCs w:val="24"/>
        </w:rPr>
      </w:pPr>
      <w:r w:rsidRPr="00D760A3">
        <w:rPr>
          <w:rFonts w:cstheme="minorHAnsi"/>
          <w:sz w:val="24"/>
          <w:szCs w:val="24"/>
        </w:rPr>
        <w:t>Pro ČR irelevantní.</w:t>
      </w:r>
    </w:p>
    <w:p w14:paraId="0EB9AA20" w14:textId="77777777" w:rsidR="0001761A" w:rsidRPr="008A41F1" w:rsidRDefault="0001761A" w:rsidP="00C76A64">
      <w:pPr>
        <w:ind w:left="360"/>
        <w:jc w:val="both"/>
        <w:rPr>
          <w:rFonts w:cstheme="minorHAnsi"/>
          <w:b/>
          <w:bCs/>
          <w:sz w:val="24"/>
          <w:szCs w:val="24"/>
          <w:lang w:val="en-IE"/>
        </w:rPr>
      </w:pPr>
    </w:p>
    <w:p w14:paraId="03C03C9C" w14:textId="77777777" w:rsidR="00C76A64" w:rsidRPr="008A41F1" w:rsidRDefault="0001761A" w:rsidP="00C76A64">
      <w:pPr>
        <w:ind w:left="360"/>
        <w:jc w:val="both"/>
        <w:rPr>
          <w:rFonts w:cstheme="minorHAnsi"/>
          <w:b/>
          <w:bCs/>
          <w:sz w:val="24"/>
          <w:szCs w:val="24"/>
          <w:lang w:val="en-IE"/>
        </w:rPr>
      </w:pPr>
      <w:r w:rsidRPr="00D760A3">
        <w:rPr>
          <w:rFonts w:cstheme="minorHAnsi"/>
          <w:b/>
          <w:bCs/>
          <w:sz w:val="24"/>
          <w:szCs w:val="24"/>
        </w:rPr>
        <w:t>Silnice, terminály kombinované dopravy</w:t>
      </w:r>
      <w:r w:rsidRPr="008A41F1">
        <w:rPr>
          <w:rFonts w:cstheme="minorHAnsi"/>
          <w:b/>
          <w:bCs/>
          <w:sz w:val="24"/>
          <w:szCs w:val="24"/>
          <w:lang w:val="en-IE"/>
        </w:rPr>
        <w:t xml:space="preserve"> </w:t>
      </w:r>
      <w:r w:rsidRPr="008A41F1">
        <w:rPr>
          <w:rFonts w:cstheme="minorHAnsi"/>
          <w:bCs/>
          <w:i/>
          <w:sz w:val="24"/>
          <w:szCs w:val="24"/>
          <w:lang w:val="en-IE"/>
        </w:rPr>
        <w:t>(</w:t>
      </w:r>
      <w:r w:rsidR="00C76A64" w:rsidRPr="008A41F1">
        <w:rPr>
          <w:rFonts w:cstheme="minorHAnsi"/>
          <w:bCs/>
          <w:i/>
          <w:sz w:val="24"/>
          <w:szCs w:val="24"/>
          <w:lang w:val="en-IE"/>
        </w:rPr>
        <w:t>Roads, rail-road terminals, and multimodal logistics platforms</w:t>
      </w:r>
      <w:r w:rsidRPr="008A41F1">
        <w:rPr>
          <w:rFonts w:cstheme="minorHAnsi"/>
          <w:bCs/>
          <w:i/>
          <w:sz w:val="24"/>
          <w:szCs w:val="24"/>
          <w:lang w:val="en-IE"/>
        </w:rPr>
        <w:t>)</w:t>
      </w:r>
    </w:p>
    <w:p w14:paraId="00E1DBE2" w14:textId="2E585DC4" w:rsidR="0001761A" w:rsidRPr="00D760A3" w:rsidRDefault="0001761A" w:rsidP="00C76A64">
      <w:pPr>
        <w:ind w:left="360"/>
        <w:jc w:val="both"/>
        <w:rPr>
          <w:rFonts w:cstheme="minorHAnsi"/>
          <w:sz w:val="24"/>
          <w:szCs w:val="24"/>
        </w:rPr>
      </w:pPr>
      <w:r w:rsidRPr="00D760A3">
        <w:rPr>
          <w:rFonts w:cstheme="minorHAnsi"/>
          <w:sz w:val="24"/>
          <w:szCs w:val="24"/>
        </w:rPr>
        <w:t>Podporované a</w:t>
      </w:r>
      <w:r w:rsidR="00D760A3">
        <w:rPr>
          <w:rFonts w:cstheme="minorHAnsi"/>
          <w:sz w:val="24"/>
          <w:szCs w:val="24"/>
        </w:rPr>
        <w:t>k</w:t>
      </w:r>
      <w:r w:rsidRPr="00D760A3">
        <w:rPr>
          <w:rFonts w:cstheme="minorHAnsi"/>
          <w:sz w:val="24"/>
          <w:szCs w:val="24"/>
        </w:rPr>
        <w:t>tivity:</w:t>
      </w:r>
    </w:p>
    <w:p w14:paraId="73BD0AD8" w14:textId="77777777" w:rsidR="0001761A" w:rsidRPr="00D760A3" w:rsidRDefault="0001761A" w:rsidP="0001761A">
      <w:pPr>
        <w:pStyle w:val="Odstavecseseznamem"/>
        <w:numPr>
          <w:ilvl w:val="0"/>
          <w:numId w:val="3"/>
        </w:numPr>
        <w:jc w:val="both"/>
        <w:rPr>
          <w:rFonts w:cstheme="minorHAnsi"/>
          <w:sz w:val="24"/>
          <w:szCs w:val="24"/>
        </w:rPr>
      </w:pPr>
      <w:r w:rsidRPr="00D760A3">
        <w:rPr>
          <w:rFonts w:cstheme="minorHAnsi"/>
          <w:sz w:val="24"/>
          <w:szCs w:val="24"/>
        </w:rPr>
        <w:t>vybrané úseky silnic hlavní sítě TEN-T</w:t>
      </w:r>
    </w:p>
    <w:p w14:paraId="365604F2" w14:textId="77777777" w:rsidR="0001761A" w:rsidRPr="00D760A3" w:rsidRDefault="0001761A" w:rsidP="0001761A">
      <w:pPr>
        <w:pStyle w:val="Odstavecseseznamem"/>
        <w:numPr>
          <w:ilvl w:val="0"/>
          <w:numId w:val="3"/>
        </w:numPr>
        <w:jc w:val="both"/>
        <w:rPr>
          <w:rFonts w:cstheme="minorHAnsi"/>
          <w:sz w:val="24"/>
          <w:szCs w:val="24"/>
        </w:rPr>
      </w:pPr>
      <w:r w:rsidRPr="00D760A3">
        <w:rPr>
          <w:rFonts w:cstheme="minorHAnsi"/>
          <w:sz w:val="24"/>
          <w:szCs w:val="24"/>
        </w:rPr>
        <w:t>silniční napojení vybraných přístavů a terminálů kombinované dopravy, pokud přispívá k snížení kongescí ve městech nebo z důvodu zvýšení kapacity přístavu / terminálu</w:t>
      </w:r>
    </w:p>
    <w:p w14:paraId="1D087C53" w14:textId="77777777" w:rsidR="0001761A" w:rsidRPr="00D760A3" w:rsidRDefault="0001761A" w:rsidP="0001761A">
      <w:pPr>
        <w:pStyle w:val="Odstavecseseznamem"/>
        <w:numPr>
          <w:ilvl w:val="0"/>
          <w:numId w:val="3"/>
        </w:numPr>
        <w:jc w:val="both"/>
        <w:rPr>
          <w:rFonts w:cstheme="minorHAnsi"/>
          <w:sz w:val="24"/>
          <w:szCs w:val="24"/>
        </w:rPr>
      </w:pPr>
      <w:r w:rsidRPr="00D760A3">
        <w:rPr>
          <w:rFonts w:cstheme="minorHAnsi"/>
          <w:sz w:val="24"/>
          <w:szCs w:val="24"/>
        </w:rPr>
        <w:t>výstavba nebo modernizace ter</w:t>
      </w:r>
      <w:r w:rsidR="003F0DD7" w:rsidRPr="00D760A3">
        <w:rPr>
          <w:rFonts w:cstheme="minorHAnsi"/>
          <w:sz w:val="24"/>
          <w:szCs w:val="24"/>
        </w:rPr>
        <w:t>minálů kombinované dopravy</w:t>
      </w:r>
    </w:p>
    <w:p w14:paraId="69964FC5" w14:textId="0F11FBAD" w:rsidR="003F0DD7" w:rsidRPr="00D760A3" w:rsidRDefault="003F0DD7" w:rsidP="003F0DD7">
      <w:pPr>
        <w:ind w:left="360"/>
        <w:jc w:val="both"/>
        <w:rPr>
          <w:rFonts w:cstheme="minorHAnsi"/>
          <w:sz w:val="24"/>
          <w:szCs w:val="24"/>
        </w:rPr>
      </w:pPr>
      <w:r w:rsidRPr="00D760A3">
        <w:rPr>
          <w:rFonts w:cstheme="minorHAnsi"/>
          <w:sz w:val="24"/>
          <w:szCs w:val="24"/>
        </w:rPr>
        <w:t>Nebudou podporovány budovy a sklady</w:t>
      </w:r>
      <w:r w:rsidR="00D760A3">
        <w:rPr>
          <w:rFonts w:cstheme="minorHAnsi"/>
          <w:sz w:val="24"/>
          <w:szCs w:val="24"/>
        </w:rPr>
        <w:t>.</w:t>
      </w:r>
    </w:p>
    <w:p w14:paraId="18084262" w14:textId="77777777" w:rsidR="00C76A64" w:rsidRPr="008A41F1" w:rsidRDefault="00C76A64" w:rsidP="00C76A64">
      <w:pPr>
        <w:ind w:left="360"/>
        <w:jc w:val="both"/>
        <w:rPr>
          <w:rFonts w:cstheme="minorHAnsi"/>
          <w:i/>
          <w:sz w:val="24"/>
          <w:szCs w:val="24"/>
          <w:lang w:val="en-IE"/>
        </w:rPr>
      </w:pPr>
      <w:r w:rsidRPr="008A41F1">
        <w:rPr>
          <w:rFonts w:cstheme="minorHAnsi"/>
          <w:i/>
          <w:sz w:val="24"/>
          <w:szCs w:val="24"/>
          <w:lang w:val="en-IE"/>
        </w:rPr>
        <w:t>The following Actions will be supported:</w:t>
      </w:r>
    </w:p>
    <w:p w14:paraId="0FE758BC" w14:textId="77777777" w:rsidR="00C76A64" w:rsidRPr="008A41F1" w:rsidRDefault="00C76A64" w:rsidP="00C76A64">
      <w:pPr>
        <w:pStyle w:val="Odstavecseseznamem"/>
        <w:numPr>
          <w:ilvl w:val="0"/>
          <w:numId w:val="10"/>
        </w:numPr>
        <w:spacing w:after="160" w:line="256" w:lineRule="auto"/>
        <w:ind w:left="792"/>
        <w:jc w:val="both"/>
        <w:rPr>
          <w:rFonts w:cstheme="minorHAnsi"/>
          <w:b/>
          <w:i/>
          <w:sz w:val="24"/>
          <w:szCs w:val="24"/>
          <w:lang w:val="en-IE"/>
        </w:rPr>
      </w:pPr>
      <w:r w:rsidRPr="008A41F1">
        <w:rPr>
          <w:rFonts w:cstheme="minorHAnsi"/>
          <w:i/>
          <w:sz w:val="24"/>
          <w:szCs w:val="24"/>
          <w:lang w:val="en-IE"/>
        </w:rPr>
        <w:t>pre-identified road links as stipulated in Section 1 and 2 of Part III of the Annex of the CEF Regulation, in particular cross-border links and missing links on the Core Network;</w:t>
      </w:r>
    </w:p>
    <w:p w14:paraId="3943E170" w14:textId="77777777" w:rsidR="00C76A64" w:rsidRPr="008A41F1" w:rsidRDefault="00C76A64" w:rsidP="00C76A64">
      <w:pPr>
        <w:pStyle w:val="Odstavecseseznamem"/>
        <w:numPr>
          <w:ilvl w:val="0"/>
          <w:numId w:val="10"/>
        </w:numPr>
        <w:spacing w:after="160" w:line="256" w:lineRule="auto"/>
        <w:ind w:left="792"/>
        <w:jc w:val="both"/>
        <w:rPr>
          <w:rFonts w:cstheme="minorHAnsi"/>
          <w:b/>
          <w:i/>
          <w:sz w:val="24"/>
          <w:szCs w:val="24"/>
          <w:lang w:val="en-IE"/>
        </w:rPr>
      </w:pPr>
      <w:r w:rsidRPr="008A41F1">
        <w:rPr>
          <w:rFonts w:cstheme="minorHAnsi"/>
          <w:i/>
          <w:sz w:val="24"/>
          <w:szCs w:val="24"/>
          <w:lang w:val="en-IE"/>
        </w:rPr>
        <w:t>components of the Core and Comprehensive road Networks located in Member States which do not have a land border with another Member State as stipulated in the Section 3 of Part III of the Annex of the CEF Regulation;</w:t>
      </w:r>
    </w:p>
    <w:p w14:paraId="7C2C67EA" w14:textId="77777777" w:rsidR="00C76A64" w:rsidRPr="008A41F1" w:rsidRDefault="00C76A64" w:rsidP="00C76A64">
      <w:pPr>
        <w:pStyle w:val="Odstavecseseznamem"/>
        <w:numPr>
          <w:ilvl w:val="0"/>
          <w:numId w:val="10"/>
        </w:numPr>
        <w:spacing w:after="160" w:line="256" w:lineRule="auto"/>
        <w:ind w:left="792"/>
        <w:jc w:val="both"/>
        <w:rPr>
          <w:rFonts w:cstheme="minorHAnsi"/>
          <w:b/>
          <w:i/>
          <w:sz w:val="24"/>
          <w:szCs w:val="24"/>
          <w:lang w:val="en-IE"/>
        </w:rPr>
      </w:pPr>
      <w:r w:rsidRPr="008A41F1">
        <w:rPr>
          <w:rFonts w:cstheme="minorHAnsi"/>
          <w:i/>
          <w:sz w:val="24"/>
          <w:szCs w:val="24"/>
          <w:lang w:val="en-IE"/>
        </w:rPr>
        <w:t>improving road connections to maritime and inland ports and rail-road terminals as listed in Annex II of Regulation (EU) No 1315/2013 if this contributes to less congestion in urban areas or is necessary for the expansion of the capacity of the ports and rail-road terminals;</w:t>
      </w:r>
    </w:p>
    <w:p w14:paraId="4E9B813B" w14:textId="77777777" w:rsidR="00C76A64" w:rsidRPr="008A41F1" w:rsidRDefault="00C76A64" w:rsidP="00C76A64">
      <w:pPr>
        <w:pStyle w:val="Odstavecseseznamem"/>
        <w:numPr>
          <w:ilvl w:val="0"/>
          <w:numId w:val="10"/>
        </w:numPr>
        <w:spacing w:after="160" w:line="256" w:lineRule="auto"/>
        <w:ind w:left="792"/>
        <w:jc w:val="both"/>
        <w:rPr>
          <w:rFonts w:cstheme="minorHAnsi"/>
          <w:i/>
          <w:sz w:val="24"/>
          <w:szCs w:val="24"/>
          <w:lang w:val="en-IE"/>
        </w:rPr>
      </w:pPr>
      <w:r w:rsidRPr="008A41F1">
        <w:rPr>
          <w:rFonts w:cstheme="minorHAnsi"/>
          <w:i/>
          <w:sz w:val="24"/>
          <w:szCs w:val="24"/>
          <w:lang w:val="en-IE"/>
        </w:rPr>
        <w:t>construction or upgrade of rail-road terminals as listed in Annex II of Regulation (EU) No 1315/2013, combined transport transhipment points and other publicly accessible multimodal logistics platforms located in nodes of the TEN-T Network, including connecting or siding tracks, power connections, safe and secure truck waiting areas, adaptations for 740 m train length, clean transhipment equipment for intermodal loading units, including specific equipment for rolling motorways and the transportation of semi-trailers by rail, and ICT equipment and applications.</w:t>
      </w:r>
    </w:p>
    <w:p w14:paraId="3EB98CC6" w14:textId="77777777" w:rsidR="00C76A64" w:rsidRPr="008A41F1" w:rsidRDefault="00C76A64" w:rsidP="00C76A64">
      <w:pPr>
        <w:pStyle w:val="Odstavecseseznamem"/>
        <w:ind w:left="792"/>
        <w:jc w:val="both"/>
        <w:rPr>
          <w:rFonts w:cstheme="minorHAnsi"/>
          <w:b/>
          <w:i/>
          <w:sz w:val="24"/>
          <w:szCs w:val="24"/>
          <w:lang w:val="en-IE"/>
        </w:rPr>
      </w:pPr>
    </w:p>
    <w:p w14:paraId="6F5A67AF" w14:textId="77777777" w:rsidR="00C76A64" w:rsidRPr="008A41F1" w:rsidRDefault="00C76A64" w:rsidP="00C76A64">
      <w:pPr>
        <w:pStyle w:val="Odstavecseseznamem"/>
        <w:autoSpaceDE w:val="0"/>
        <w:autoSpaceDN w:val="0"/>
        <w:adjustRightInd w:val="0"/>
        <w:ind w:left="360"/>
        <w:jc w:val="both"/>
        <w:rPr>
          <w:rFonts w:cstheme="minorHAnsi"/>
          <w:b/>
          <w:i/>
          <w:sz w:val="24"/>
          <w:szCs w:val="24"/>
          <w:lang w:val="en-IE"/>
        </w:rPr>
      </w:pPr>
      <w:r w:rsidRPr="008A41F1">
        <w:rPr>
          <w:rFonts w:cstheme="minorHAnsi"/>
          <w:i/>
          <w:sz w:val="24"/>
          <w:szCs w:val="24"/>
          <w:lang w:val="en-IE"/>
        </w:rPr>
        <w:t xml:space="preserve">Support will not be given to buildings, storage and warehouse facilities. Actions addressing roads shall be compliant with the </w:t>
      </w:r>
      <w:r w:rsidRPr="008A41F1">
        <w:rPr>
          <w:rFonts w:cstheme="minorHAnsi"/>
          <w:bCs/>
          <w:i/>
          <w:sz w:val="24"/>
          <w:szCs w:val="24"/>
          <w:lang w:val="en-IE"/>
        </w:rPr>
        <w:t>Directive (EU) 2019/1936</w:t>
      </w:r>
      <w:r w:rsidRPr="008A41F1">
        <w:rPr>
          <w:rFonts w:cstheme="minorHAnsi"/>
          <w:i/>
          <w:sz w:val="24"/>
          <w:szCs w:val="24"/>
          <w:lang w:val="en-IE"/>
        </w:rPr>
        <w:t xml:space="preserve"> and </w:t>
      </w:r>
      <w:r w:rsidRPr="008A41F1">
        <w:rPr>
          <w:rFonts w:cstheme="minorHAnsi"/>
          <w:bCs/>
          <w:i/>
          <w:sz w:val="24"/>
          <w:szCs w:val="24"/>
          <w:lang w:val="en-IE"/>
        </w:rPr>
        <w:t>Directive (EU) 2004/54/EC</w:t>
      </w:r>
      <w:r w:rsidRPr="008A41F1">
        <w:rPr>
          <w:rFonts w:cstheme="minorHAnsi"/>
          <w:i/>
          <w:sz w:val="24"/>
          <w:szCs w:val="24"/>
          <w:lang w:val="en-IE"/>
        </w:rPr>
        <w:t>.</w:t>
      </w:r>
    </w:p>
    <w:p w14:paraId="7A48AA05" w14:textId="77777777" w:rsidR="00C76A64" w:rsidRPr="008A41F1" w:rsidRDefault="00C76A64" w:rsidP="005304A2">
      <w:pPr>
        <w:jc w:val="both"/>
        <w:rPr>
          <w:rFonts w:cstheme="minorHAnsi"/>
          <w:b/>
          <w:sz w:val="24"/>
          <w:szCs w:val="24"/>
          <w:lang w:val="en-IE"/>
        </w:rPr>
      </w:pPr>
    </w:p>
    <w:p w14:paraId="50AF6EFC" w14:textId="77777777" w:rsidR="00C76A64" w:rsidRPr="00C93BFC" w:rsidRDefault="003F0DD7" w:rsidP="00C93BFC">
      <w:pPr>
        <w:pStyle w:val="Odstavecseseznamem"/>
        <w:numPr>
          <w:ilvl w:val="0"/>
          <w:numId w:val="15"/>
        </w:numPr>
        <w:spacing w:after="160" w:line="256" w:lineRule="auto"/>
        <w:jc w:val="both"/>
        <w:rPr>
          <w:rFonts w:cstheme="minorHAnsi"/>
          <w:b/>
          <w:bCs/>
          <w:sz w:val="24"/>
          <w:szCs w:val="24"/>
          <w:lang w:val="en-IE"/>
        </w:rPr>
      </w:pPr>
      <w:r w:rsidRPr="00C93BFC">
        <w:rPr>
          <w:rFonts w:cstheme="minorHAnsi"/>
          <w:b/>
          <w:bCs/>
          <w:sz w:val="24"/>
          <w:szCs w:val="24"/>
          <w:lang w:val="en-IE"/>
        </w:rPr>
        <w:t xml:space="preserve">MODERNIZACE TEN-T </w:t>
      </w:r>
      <w:r w:rsidRPr="00C93BFC">
        <w:rPr>
          <w:rFonts w:cstheme="minorHAnsi"/>
          <w:bCs/>
          <w:i/>
          <w:sz w:val="24"/>
          <w:szCs w:val="24"/>
          <w:lang w:val="en-IE"/>
        </w:rPr>
        <w:t xml:space="preserve">(MODERNISATION OF THE TEN-T NETWORK / </w:t>
      </w:r>
      <w:r w:rsidR="00C76A64" w:rsidRPr="00C93BFC">
        <w:rPr>
          <w:rFonts w:cstheme="minorHAnsi"/>
          <w:bCs/>
          <w:i/>
          <w:sz w:val="24"/>
          <w:szCs w:val="24"/>
          <w:lang w:val="en-IE"/>
        </w:rPr>
        <w:t>Actions relating to smart, interoperable, sustainable, multimodal, inclusive, accessible, safe and secure mobility</w:t>
      </w:r>
      <w:r w:rsidR="008A41F1" w:rsidRPr="00C93BFC">
        <w:rPr>
          <w:rFonts w:cstheme="minorHAnsi"/>
          <w:bCs/>
          <w:i/>
          <w:sz w:val="24"/>
          <w:szCs w:val="24"/>
          <w:lang w:val="en-IE"/>
        </w:rPr>
        <w:t>)</w:t>
      </w:r>
    </w:p>
    <w:p w14:paraId="7541AC69" w14:textId="77777777" w:rsidR="00C76A64" w:rsidRDefault="00C93BFC" w:rsidP="00262E12">
      <w:pPr>
        <w:spacing w:after="160" w:line="256" w:lineRule="auto"/>
        <w:jc w:val="both"/>
        <w:rPr>
          <w:rFonts w:cstheme="minorHAnsi"/>
          <w:b/>
          <w:bCs/>
          <w:sz w:val="24"/>
          <w:szCs w:val="24"/>
          <w:lang w:val="en-IE"/>
        </w:rPr>
      </w:pPr>
      <w:r w:rsidRPr="00D760A3">
        <w:rPr>
          <w:rFonts w:cstheme="minorHAnsi"/>
          <w:b/>
          <w:bCs/>
          <w:sz w:val="24"/>
          <w:szCs w:val="24"/>
        </w:rPr>
        <w:t>2.1 Chytrá a interoperabilní mobilita</w:t>
      </w:r>
      <w:r w:rsidRPr="00C93BFC">
        <w:rPr>
          <w:rFonts w:cstheme="minorHAnsi"/>
          <w:bCs/>
          <w:i/>
          <w:sz w:val="24"/>
          <w:szCs w:val="24"/>
          <w:lang w:val="en-IE"/>
        </w:rPr>
        <w:t xml:space="preserve"> (</w:t>
      </w:r>
      <w:r w:rsidR="00C76A64" w:rsidRPr="00C93BFC">
        <w:rPr>
          <w:rFonts w:cstheme="minorHAnsi"/>
          <w:bCs/>
          <w:i/>
          <w:sz w:val="24"/>
          <w:szCs w:val="24"/>
          <w:lang w:val="en-IE"/>
        </w:rPr>
        <w:t>Actions related to smart and interoperable mobility</w:t>
      </w:r>
      <w:r w:rsidRPr="00C93BFC">
        <w:rPr>
          <w:rFonts w:cstheme="minorHAnsi"/>
          <w:bCs/>
          <w:i/>
          <w:sz w:val="24"/>
          <w:szCs w:val="24"/>
          <w:lang w:val="en-IE"/>
        </w:rPr>
        <w:t>)</w:t>
      </w:r>
    </w:p>
    <w:p w14:paraId="73802370" w14:textId="77777777" w:rsidR="00C76A64" w:rsidRPr="008A41F1" w:rsidRDefault="00262E12" w:rsidP="00C76A64">
      <w:pPr>
        <w:ind w:left="360"/>
        <w:jc w:val="both"/>
        <w:rPr>
          <w:rFonts w:cstheme="minorHAnsi"/>
          <w:b/>
          <w:bCs/>
          <w:sz w:val="24"/>
          <w:szCs w:val="24"/>
          <w:lang w:val="en-IE"/>
        </w:rPr>
      </w:pPr>
      <w:r w:rsidRPr="00D760A3">
        <w:rPr>
          <w:rFonts w:cstheme="minorHAnsi"/>
          <w:b/>
          <w:bCs/>
          <w:sz w:val="24"/>
          <w:szCs w:val="24"/>
        </w:rPr>
        <w:t>Chytré aplikace v dopravě</w:t>
      </w:r>
      <w:r>
        <w:rPr>
          <w:rFonts w:cstheme="minorHAnsi"/>
          <w:b/>
          <w:bCs/>
          <w:sz w:val="24"/>
          <w:szCs w:val="24"/>
          <w:lang w:val="en-IE"/>
        </w:rPr>
        <w:t xml:space="preserve"> </w:t>
      </w:r>
      <w:r w:rsidRPr="00262E12">
        <w:rPr>
          <w:rFonts w:cstheme="minorHAnsi"/>
          <w:bCs/>
          <w:i/>
          <w:sz w:val="24"/>
          <w:szCs w:val="24"/>
          <w:lang w:val="en-IE"/>
        </w:rPr>
        <w:t>(</w:t>
      </w:r>
      <w:r w:rsidR="00C76A64" w:rsidRPr="00262E12">
        <w:rPr>
          <w:rFonts w:cstheme="minorHAnsi"/>
          <w:bCs/>
          <w:i/>
          <w:sz w:val="24"/>
          <w:szCs w:val="24"/>
          <w:lang w:val="en-IE"/>
        </w:rPr>
        <w:t>Smart applications for transport</w:t>
      </w:r>
      <w:r w:rsidRPr="00262E12">
        <w:rPr>
          <w:rFonts w:cstheme="minorHAnsi"/>
          <w:bCs/>
          <w:i/>
          <w:sz w:val="24"/>
          <w:szCs w:val="24"/>
          <w:lang w:val="en-IE"/>
        </w:rPr>
        <w:t>)</w:t>
      </w:r>
    </w:p>
    <w:p w14:paraId="15DC8417" w14:textId="1AB681F6" w:rsidR="00262E12" w:rsidRPr="00D760A3" w:rsidRDefault="00262E12" w:rsidP="00C76A64">
      <w:pPr>
        <w:ind w:left="360"/>
        <w:jc w:val="both"/>
        <w:rPr>
          <w:rFonts w:cstheme="minorHAnsi"/>
          <w:sz w:val="24"/>
          <w:szCs w:val="24"/>
        </w:rPr>
      </w:pPr>
      <w:r w:rsidRPr="00D760A3">
        <w:rPr>
          <w:rFonts w:cstheme="minorHAnsi"/>
          <w:sz w:val="24"/>
          <w:szCs w:val="24"/>
        </w:rPr>
        <w:t>Podporované a</w:t>
      </w:r>
      <w:r w:rsidR="00D760A3">
        <w:rPr>
          <w:rFonts w:cstheme="minorHAnsi"/>
          <w:sz w:val="24"/>
          <w:szCs w:val="24"/>
        </w:rPr>
        <w:t>k</w:t>
      </w:r>
      <w:r w:rsidRPr="00D760A3">
        <w:rPr>
          <w:rFonts w:cstheme="minorHAnsi"/>
          <w:sz w:val="24"/>
          <w:szCs w:val="24"/>
        </w:rPr>
        <w:t>tivity:</w:t>
      </w:r>
    </w:p>
    <w:p w14:paraId="47C41855" w14:textId="18985F7A" w:rsidR="00262E12" w:rsidRPr="00D760A3" w:rsidRDefault="00262E12" w:rsidP="00940E0A">
      <w:pPr>
        <w:pStyle w:val="Odstavecseseznamem"/>
        <w:numPr>
          <w:ilvl w:val="0"/>
          <w:numId w:val="3"/>
        </w:numPr>
        <w:jc w:val="both"/>
        <w:rPr>
          <w:rFonts w:cstheme="minorHAnsi"/>
          <w:sz w:val="24"/>
          <w:szCs w:val="24"/>
        </w:rPr>
      </w:pPr>
      <w:r w:rsidRPr="00D760A3">
        <w:rPr>
          <w:rFonts w:cstheme="minorHAnsi"/>
          <w:sz w:val="24"/>
          <w:szCs w:val="24"/>
        </w:rPr>
        <w:t xml:space="preserve">ERTMS </w:t>
      </w:r>
      <w:proofErr w:type="spellStart"/>
      <w:r w:rsidRPr="00D760A3">
        <w:rPr>
          <w:rFonts w:cstheme="minorHAnsi"/>
          <w:sz w:val="24"/>
          <w:szCs w:val="24"/>
        </w:rPr>
        <w:t>Baseline</w:t>
      </w:r>
      <w:proofErr w:type="spellEnd"/>
      <w:r w:rsidRPr="00D760A3">
        <w:rPr>
          <w:rFonts w:cstheme="minorHAnsi"/>
          <w:sz w:val="24"/>
          <w:szCs w:val="24"/>
        </w:rPr>
        <w:t xml:space="preserve"> 3 – palubní jednotky i traťová část</w:t>
      </w:r>
      <w:r w:rsidR="00A45EEC" w:rsidRPr="00D760A3">
        <w:rPr>
          <w:rFonts w:cstheme="minorHAnsi"/>
          <w:sz w:val="24"/>
          <w:szCs w:val="24"/>
        </w:rPr>
        <w:t xml:space="preserve">; oblast bude podporována prostřednictvím jednotkových </w:t>
      </w:r>
      <w:r w:rsidR="00940E0A">
        <w:rPr>
          <w:rFonts w:cstheme="minorHAnsi"/>
          <w:sz w:val="24"/>
          <w:szCs w:val="24"/>
        </w:rPr>
        <w:t>příspěvků</w:t>
      </w:r>
      <w:r w:rsidR="00A45EEC" w:rsidRPr="00D760A3">
        <w:rPr>
          <w:rFonts w:cstheme="minorHAnsi"/>
          <w:sz w:val="24"/>
          <w:szCs w:val="24"/>
        </w:rPr>
        <w:t xml:space="preserve"> (pevné výše dotace na jednotku výstupu)</w:t>
      </w:r>
      <w:r w:rsidR="00940E0A">
        <w:rPr>
          <w:rFonts w:cstheme="minorHAnsi"/>
          <w:sz w:val="24"/>
          <w:szCs w:val="24"/>
        </w:rPr>
        <w:t>.</w:t>
      </w:r>
      <w:r w:rsidR="00A45EEC" w:rsidRPr="00D760A3">
        <w:rPr>
          <w:rFonts w:cstheme="minorHAnsi"/>
          <w:b/>
          <w:color w:val="FF0000"/>
          <w:sz w:val="24"/>
          <w:szCs w:val="24"/>
        </w:rPr>
        <w:t xml:space="preserve"> </w:t>
      </w:r>
      <w:r w:rsidR="00940E0A" w:rsidRPr="00940E0A">
        <w:rPr>
          <w:rFonts w:cstheme="minorHAnsi"/>
          <w:color w:val="FF0000"/>
          <w:sz w:val="24"/>
          <w:szCs w:val="24"/>
        </w:rPr>
        <w:t>Výše příspěvku dosud nestanovena</w:t>
      </w:r>
      <w:r w:rsidR="00940E0A">
        <w:rPr>
          <w:rFonts w:cstheme="minorHAnsi"/>
          <w:color w:val="FF0000"/>
          <w:sz w:val="24"/>
          <w:szCs w:val="24"/>
        </w:rPr>
        <w:t>, v obecné obálce bude pravděpodobně stejná jako v případě CEF1</w:t>
      </w:r>
      <w:r w:rsidR="00940E0A">
        <w:rPr>
          <w:rStyle w:val="Znakapoznpodarou"/>
          <w:rFonts w:cstheme="minorHAnsi"/>
          <w:color w:val="FF0000"/>
          <w:sz w:val="24"/>
          <w:szCs w:val="24"/>
        </w:rPr>
        <w:footnoteReference w:id="1"/>
      </w:r>
      <w:r w:rsidR="00940E0A">
        <w:rPr>
          <w:rFonts w:cstheme="minorHAnsi"/>
          <w:color w:val="FF0000"/>
          <w:sz w:val="24"/>
          <w:szCs w:val="24"/>
        </w:rPr>
        <w:t xml:space="preserve">, v kohezí obálce by měla být cca o 50 % vyšší. </w:t>
      </w:r>
    </w:p>
    <w:p w14:paraId="48E654A3" w14:textId="77777777" w:rsidR="00262E12" w:rsidRPr="00D760A3" w:rsidRDefault="00486C86" w:rsidP="00262E12">
      <w:pPr>
        <w:pStyle w:val="Odstavecseseznamem"/>
        <w:numPr>
          <w:ilvl w:val="0"/>
          <w:numId w:val="3"/>
        </w:numPr>
        <w:jc w:val="both"/>
        <w:rPr>
          <w:rFonts w:cstheme="minorHAnsi"/>
          <w:sz w:val="24"/>
          <w:szCs w:val="24"/>
        </w:rPr>
      </w:pPr>
      <w:r w:rsidRPr="00D760A3">
        <w:rPr>
          <w:rFonts w:cstheme="minorHAnsi"/>
          <w:sz w:val="24"/>
          <w:szCs w:val="24"/>
        </w:rPr>
        <w:t xml:space="preserve">Inteligentní dopravní systémy </w:t>
      </w:r>
      <w:r w:rsidR="00262E12" w:rsidRPr="00D760A3">
        <w:rPr>
          <w:rFonts w:cstheme="minorHAnsi"/>
          <w:sz w:val="24"/>
          <w:szCs w:val="24"/>
        </w:rPr>
        <w:t>ITS / C-ITS</w:t>
      </w:r>
    </w:p>
    <w:p w14:paraId="4749D04C" w14:textId="77777777" w:rsidR="00262E12" w:rsidRPr="00D760A3" w:rsidRDefault="00262E12" w:rsidP="00262E12">
      <w:pPr>
        <w:pStyle w:val="Odstavecseseznamem"/>
        <w:numPr>
          <w:ilvl w:val="0"/>
          <w:numId w:val="3"/>
        </w:numPr>
        <w:jc w:val="both"/>
        <w:rPr>
          <w:rFonts w:cstheme="minorHAnsi"/>
          <w:sz w:val="24"/>
          <w:szCs w:val="24"/>
        </w:rPr>
      </w:pPr>
      <w:r w:rsidRPr="00D760A3">
        <w:rPr>
          <w:rFonts w:cstheme="minorHAnsi"/>
          <w:sz w:val="24"/>
          <w:szCs w:val="24"/>
        </w:rPr>
        <w:t xml:space="preserve">Jednotné evropské nebe </w:t>
      </w:r>
      <w:r w:rsidRPr="00D760A3">
        <w:rPr>
          <w:rFonts w:cstheme="minorHAnsi"/>
          <w:i/>
          <w:sz w:val="24"/>
          <w:szCs w:val="24"/>
        </w:rPr>
        <w:t>(</w:t>
      </w:r>
      <w:r w:rsidRPr="00D760A3">
        <w:rPr>
          <w:rFonts w:cstheme="minorHAnsi"/>
          <w:i/>
          <w:sz w:val="24"/>
          <w:szCs w:val="24"/>
          <w:lang w:val="en-GB"/>
        </w:rPr>
        <w:t>Single European Sky</w:t>
      </w:r>
      <w:r w:rsidRPr="00D760A3">
        <w:rPr>
          <w:rFonts w:cstheme="minorHAnsi"/>
          <w:i/>
          <w:sz w:val="24"/>
          <w:szCs w:val="24"/>
        </w:rPr>
        <w:t>)</w:t>
      </w:r>
    </w:p>
    <w:p w14:paraId="75C8E0B4" w14:textId="77777777" w:rsidR="00486C86" w:rsidRPr="00D760A3" w:rsidRDefault="00486C86" w:rsidP="00262E12">
      <w:pPr>
        <w:pStyle w:val="Odstavecseseznamem"/>
        <w:numPr>
          <w:ilvl w:val="0"/>
          <w:numId w:val="3"/>
        </w:numPr>
        <w:jc w:val="both"/>
        <w:rPr>
          <w:rFonts w:cstheme="minorHAnsi"/>
          <w:sz w:val="24"/>
          <w:szCs w:val="24"/>
        </w:rPr>
      </w:pPr>
      <w:r w:rsidRPr="00D760A3">
        <w:rPr>
          <w:rFonts w:cstheme="minorHAnsi"/>
          <w:sz w:val="24"/>
          <w:szCs w:val="24"/>
        </w:rPr>
        <w:t>Říční informační služby (RIS)</w:t>
      </w:r>
    </w:p>
    <w:p w14:paraId="36614537" w14:textId="77777777" w:rsidR="00486C86" w:rsidRPr="00D760A3" w:rsidRDefault="00486C86" w:rsidP="00262E12">
      <w:pPr>
        <w:pStyle w:val="Odstavecseseznamem"/>
        <w:numPr>
          <w:ilvl w:val="0"/>
          <w:numId w:val="3"/>
        </w:numPr>
        <w:jc w:val="both"/>
        <w:rPr>
          <w:rFonts w:cstheme="minorHAnsi"/>
          <w:sz w:val="24"/>
          <w:szCs w:val="24"/>
        </w:rPr>
      </w:pPr>
      <w:r w:rsidRPr="00D760A3">
        <w:rPr>
          <w:rFonts w:cstheme="minorHAnsi"/>
          <w:sz w:val="24"/>
          <w:szCs w:val="24"/>
        </w:rPr>
        <w:t>vytváření, sběr, řízení, sdílení a diseminace přesných a aktuálních dopravních dat</w:t>
      </w:r>
    </w:p>
    <w:p w14:paraId="4CA91124" w14:textId="77777777" w:rsidR="00486C86" w:rsidRPr="00486C86" w:rsidRDefault="00486C86" w:rsidP="00486C86">
      <w:pPr>
        <w:pStyle w:val="Odstavecseseznamem"/>
        <w:jc w:val="both"/>
        <w:rPr>
          <w:rFonts w:cstheme="minorHAnsi"/>
          <w:sz w:val="24"/>
          <w:szCs w:val="24"/>
          <w:lang w:val="en-IE"/>
        </w:rPr>
      </w:pPr>
      <w:bookmarkStart w:id="0" w:name="_GoBack"/>
      <w:bookmarkEnd w:id="0"/>
    </w:p>
    <w:p w14:paraId="0D037AD5" w14:textId="77777777" w:rsidR="00C76A64" w:rsidRPr="00486C86" w:rsidRDefault="00C76A64" w:rsidP="00C76A64">
      <w:pPr>
        <w:ind w:left="360"/>
        <w:jc w:val="both"/>
        <w:rPr>
          <w:rFonts w:cstheme="minorHAnsi"/>
          <w:i/>
          <w:sz w:val="24"/>
          <w:szCs w:val="24"/>
          <w:lang w:val="en-IE"/>
        </w:rPr>
      </w:pPr>
      <w:r w:rsidRPr="00486C86">
        <w:rPr>
          <w:rFonts w:cstheme="minorHAnsi"/>
          <w:i/>
          <w:sz w:val="24"/>
          <w:szCs w:val="24"/>
          <w:lang w:val="en-IE"/>
        </w:rPr>
        <w:t>In accordance with the Article 9(2</w:t>
      </w:r>
      <w:proofErr w:type="gramStart"/>
      <w:r w:rsidRPr="00486C86">
        <w:rPr>
          <w:rFonts w:cstheme="minorHAnsi"/>
          <w:i/>
          <w:sz w:val="24"/>
          <w:szCs w:val="24"/>
          <w:lang w:val="en-IE"/>
        </w:rPr>
        <w:t>)(</w:t>
      </w:r>
      <w:proofErr w:type="gramEnd"/>
      <w:r w:rsidRPr="00486C86">
        <w:rPr>
          <w:rFonts w:cstheme="minorHAnsi"/>
          <w:i/>
          <w:sz w:val="24"/>
          <w:szCs w:val="24"/>
          <w:lang w:val="en-IE"/>
        </w:rPr>
        <w:t>b)(ii) of the CEF Regulation, the following Actions will be supported:</w:t>
      </w:r>
    </w:p>
    <w:p w14:paraId="598BEE4E" w14:textId="77777777" w:rsidR="00C76A64" w:rsidRPr="00486C86" w:rsidRDefault="00C76A64" w:rsidP="00C76A64">
      <w:pPr>
        <w:pStyle w:val="Odstavecseseznamem"/>
        <w:numPr>
          <w:ilvl w:val="0"/>
          <w:numId w:val="11"/>
        </w:numPr>
        <w:spacing w:after="160" w:line="256" w:lineRule="auto"/>
        <w:jc w:val="both"/>
        <w:rPr>
          <w:rFonts w:cstheme="minorHAnsi"/>
          <w:i/>
          <w:sz w:val="24"/>
          <w:szCs w:val="24"/>
          <w:lang w:val="en-IE"/>
        </w:rPr>
      </w:pPr>
      <w:r w:rsidRPr="00486C86">
        <w:rPr>
          <w:rFonts w:cstheme="minorHAnsi"/>
          <w:i/>
          <w:sz w:val="24"/>
          <w:szCs w:val="24"/>
          <w:lang w:val="en-IE"/>
        </w:rPr>
        <w:t xml:space="preserve">European Rail Traffic Management Systems (ERTMS) on-board and track-side deployment with a priority </w:t>
      </w:r>
      <w:r w:rsidRPr="00486C86">
        <w:rPr>
          <w:rFonts w:cstheme="minorHAnsi"/>
          <w:i/>
          <w:sz w:val="24"/>
          <w:szCs w:val="24"/>
          <w:lang w:val="en-GB"/>
        </w:rPr>
        <w:t>to</w:t>
      </w:r>
      <w:r w:rsidRPr="00486C86">
        <w:rPr>
          <w:rFonts w:cstheme="minorHAnsi"/>
          <w:i/>
          <w:sz w:val="24"/>
          <w:szCs w:val="24"/>
          <w:lang w:val="en-IE"/>
        </w:rPr>
        <w:t xml:space="preserve"> rolling out ERTMS on the entire Core Network. Actions shall be:</w:t>
      </w:r>
    </w:p>
    <w:p w14:paraId="684217A0" w14:textId="77777777" w:rsidR="00C76A64" w:rsidRPr="00486C86" w:rsidRDefault="00C76A64" w:rsidP="00C76A64">
      <w:pPr>
        <w:pStyle w:val="Odstavecseseznamem"/>
        <w:numPr>
          <w:ilvl w:val="1"/>
          <w:numId w:val="11"/>
        </w:numPr>
        <w:spacing w:after="160" w:line="256" w:lineRule="auto"/>
        <w:jc w:val="both"/>
        <w:rPr>
          <w:rFonts w:cstheme="minorHAnsi"/>
          <w:i/>
          <w:sz w:val="24"/>
          <w:szCs w:val="24"/>
          <w:lang w:val="en-IE"/>
        </w:rPr>
      </w:pPr>
      <w:r w:rsidRPr="00486C86">
        <w:rPr>
          <w:rFonts w:cstheme="minorHAnsi"/>
          <w:i/>
          <w:sz w:val="24"/>
          <w:szCs w:val="24"/>
          <w:lang w:val="en-IE"/>
        </w:rPr>
        <w:t>compliant with Commission Regulation (EU) No 2016/919 as amended by Commission Implementing Regulation 2019/776, or subsequent versions, and with Directive (EC) No 2008/57 and Directive (EC) No 2004/49, or Directive (EU) No 2016/797 and Directive (EU) No 2016/798 or subsequent versions;</w:t>
      </w:r>
    </w:p>
    <w:p w14:paraId="4A91478A" w14:textId="77777777" w:rsidR="00C76A64" w:rsidRPr="00486C86" w:rsidRDefault="00C76A64" w:rsidP="00C76A64">
      <w:pPr>
        <w:pStyle w:val="Odstavecseseznamem"/>
        <w:numPr>
          <w:ilvl w:val="1"/>
          <w:numId w:val="11"/>
        </w:numPr>
        <w:spacing w:after="160" w:line="256" w:lineRule="auto"/>
        <w:jc w:val="both"/>
        <w:rPr>
          <w:rFonts w:cstheme="minorHAnsi"/>
          <w:i/>
          <w:sz w:val="24"/>
          <w:szCs w:val="24"/>
          <w:lang w:val="en-IE"/>
        </w:rPr>
      </w:pPr>
      <w:r w:rsidRPr="00486C86">
        <w:rPr>
          <w:rFonts w:cstheme="minorHAnsi"/>
          <w:i/>
          <w:sz w:val="24"/>
          <w:szCs w:val="24"/>
          <w:lang w:val="en-IE"/>
        </w:rPr>
        <w:t>baseline 3 (B3) compliant - the set of specifications #2 or #3 in table A2.2 or A2.3 of the Annex of the Commission Regulation (EU) No 2016/919 as amended by Commission Implementing Regulation 2019/776, or subsequent versions;</w:t>
      </w:r>
    </w:p>
    <w:p w14:paraId="427260FC" w14:textId="77777777" w:rsidR="00C76A64" w:rsidRPr="00486C86" w:rsidRDefault="00C76A64" w:rsidP="00C76A64">
      <w:pPr>
        <w:pStyle w:val="Odstavecseseznamem"/>
        <w:numPr>
          <w:ilvl w:val="1"/>
          <w:numId w:val="11"/>
        </w:numPr>
        <w:spacing w:after="160" w:line="256" w:lineRule="auto"/>
        <w:jc w:val="both"/>
        <w:rPr>
          <w:rFonts w:cstheme="minorHAnsi"/>
          <w:i/>
          <w:sz w:val="24"/>
          <w:szCs w:val="24"/>
          <w:lang w:val="en-IE"/>
        </w:rPr>
      </w:pPr>
      <w:proofErr w:type="gramStart"/>
      <w:r w:rsidRPr="00486C86">
        <w:rPr>
          <w:rFonts w:cstheme="minorHAnsi"/>
          <w:i/>
          <w:sz w:val="24"/>
          <w:szCs w:val="24"/>
          <w:lang w:val="en-IE"/>
        </w:rPr>
        <w:t>supported</w:t>
      </w:r>
      <w:proofErr w:type="gramEnd"/>
      <w:r w:rsidRPr="00486C86">
        <w:rPr>
          <w:rFonts w:cstheme="minorHAnsi"/>
          <w:i/>
          <w:sz w:val="24"/>
          <w:szCs w:val="24"/>
          <w:lang w:val="en-IE"/>
        </w:rPr>
        <w:t xml:space="preserve"> in the form of unit contributions.</w:t>
      </w:r>
    </w:p>
    <w:p w14:paraId="38FF73F2" w14:textId="77777777" w:rsidR="00C76A64" w:rsidRPr="00486C86" w:rsidRDefault="00C76A64" w:rsidP="00C76A64">
      <w:pPr>
        <w:pStyle w:val="Odstavecseseznamem"/>
        <w:numPr>
          <w:ilvl w:val="0"/>
          <w:numId w:val="11"/>
        </w:numPr>
        <w:spacing w:after="160" w:line="256" w:lineRule="auto"/>
        <w:jc w:val="both"/>
        <w:rPr>
          <w:rFonts w:cstheme="minorHAnsi"/>
          <w:i/>
          <w:sz w:val="24"/>
          <w:szCs w:val="24"/>
          <w:lang w:val="en-IE"/>
        </w:rPr>
      </w:pPr>
      <w:r w:rsidRPr="00486C86">
        <w:rPr>
          <w:rFonts w:cstheme="minorHAnsi"/>
          <w:i/>
          <w:sz w:val="24"/>
          <w:szCs w:val="24"/>
          <w:lang w:val="en-IE"/>
        </w:rPr>
        <w:t>Intelligent Transport Services for road (ITS):</w:t>
      </w:r>
    </w:p>
    <w:p w14:paraId="3B0FE0EF" w14:textId="77777777" w:rsidR="00C76A64" w:rsidRPr="00486C86" w:rsidRDefault="00C76A64" w:rsidP="00C76A64">
      <w:pPr>
        <w:pStyle w:val="Odstavecseseznamem"/>
        <w:numPr>
          <w:ilvl w:val="1"/>
          <w:numId w:val="11"/>
        </w:numPr>
        <w:spacing w:after="160" w:line="256" w:lineRule="auto"/>
        <w:jc w:val="both"/>
        <w:rPr>
          <w:rFonts w:cstheme="minorHAnsi"/>
          <w:i/>
          <w:sz w:val="24"/>
          <w:szCs w:val="24"/>
          <w:lang w:val="en-IE"/>
        </w:rPr>
      </w:pPr>
      <w:r w:rsidRPr="00486C86">
        <w:rPr>
          <w:rFonts w:cstheme="minorHAnsi"/>
          <w:i/>
          <w:sz w:val="24"/>
          <w:szCs w:val="24"/>
          <w:lang w:val="en-IE"/>
        </w:rPr>
        <w:t xml:space="preserve">Actions related to the deployment or upgrade of ITS infrastructure and services (including </w:t>
      </w:r>
      <w:proofErr w:type="spellStart"/>
      <w:r w:rsidRPr="00486C86">
        <w:rPr>
          <w:rFonts w:cstheme="minorHAnsi"/>
          <w:i/>
          <w:sz w:val="24"/>
          <w:szCs w:val="24"/>
          <w:lang w:val="en-IE"/>
        </w:rPr>
        <w:t>eCall</w:t>
      </w:r>
      <w:proofErr w:type="spellEnd"/>
      <w:r w:rsidRPr="00486C86">
        <w:rPr>
          <w:rFonts w:cstheme="minorHAnsi"/>
          <w:i/>
          <w:sz w:val="24"/>
          <w:szCs w:val="24"/>
          <w:lang w:val="en-IE"/>
        </w:rPr>
        <w:t>) related to the priority areas of Directive 2010/40/EU;</w:t>
      </w:r>
    </w:p>
    <w:p w14:paraId="6B34F861" w14:textId="77777777" w:rsidR="00C76A64" w:rsidRPr="00486C86" w:rsidRDefault="00C76A64" w:rsidP="00C76A64">
      <w:pPr>
        <w:pStyle w:val="Odstavecseseznamem"/>
        <w:numPr>
          <w:ilvl w:val="1"/>
          <w:numId w:val="11"/>
        </w:numPr>
        <w:spacing w:after="160" w:line="256" w:lineRule="auto"/>
        <w:jc w:val="both"/>
        <w:rPr>
          <w:rFonts w:cstheme="minorHAnsi"/>
          <w:i/>
          <w:sz w:val="24"/>
          <w:szCs w:val="24"/>
          <w:lang w:val="en-IE"/>
        </w:rPr>
      </w:pPr>
      <w:r w:rsidRPr="00486C86">
        <w:rPr>
          <w:rFonts w:cstheme="minorHAnsi"/>
          <w:i/>
          <w:sz w:val="24"/>
          <w:szCs w:val="24"/>
          <w:lang w:val="en-IE"/>
        </w:rPr>
        <w:t>Actions related to deployment of cooperative ITS (C-ITS) services may be funded. Actions shall deploy C-ITS stations to provide C-ITS services based on the hybrid communication approach defined in the European C-ITS Strategy.</w:t>
      </w:r>
    </w:p>
    <w:p w14:paraId="6A298CFC" w14:textId="77777777" w:rsidR="00C76A64" w:rsidRPr="00486C86" w:rsidRDefault="00C76A64" w:rsidP="00C76A64">
      <w:pPr>
        <w:pStyle w:val="Odstavecseseznamem"/>
        <w:numPr>
          <w:ilvl w:val="0"/>
          <w:numId w:val="11"/>
        </w:numPr>
        <w:spacing w:after="160" w:line="256" w:lineRule="auto"/>
        <w:jc w:val="both"/>
        <w:rPr>
          <w:rFonts w:cstheme="minorHAnsi"/>
          <w:i/>
          <w:sz w:val="24"/>
          <w:szCs w:val="24"/>
          <w:lang w:val="en-IE"/>
        </w:rPr>
      </w:pPr>
      <w:r w:rsidRPr="00486C86">
        <w:rPr>
          <w:rFonts w:cstheme="minorHAnsi"/>
          <w:i/>
          <w:sz w:val="24"/>
          <w:szCs w:val="24"/>
          <w:lang w:val="en-IE"/>
        </w:rPr>
        <w:t>Actions supporting the implementation of the Single European Sky and of air traffic management systems, in particular those resulting from the Single European Sky Air Traffic Management Research project (SESAR) system.</w:t>
      </w:r>
    </w:p>
    <w:p w14:paraId="5712812D" w14:textId="77777777" w:rsidR="00C76A64" w:rsidRPr="00486C86" w:rsidRDefault="00C76A64" w:rsidP="00C76A64">
      <w:pPr>
        <w:pStyle w:val="Odstavecseseznamem"/>
        <w:numPr>
          <w:ilvl w:val="0"/>
          <w:numId w:val="11"/>
        </w:numPr>
        <w:spacing w:after="160" w:line="256" w:lineRule="auto"/>
        <w:jc w:val="both"/>
        <w:rPr>
          <w:rFonts w:cstheme="minorHAnsi"/>
          <w:i/>
          <w:sz w:val="24"/>
          <w:szCs w:val="24"/>
          <w:lang w:val="en-IE"/>
        </w:rPr>
      </w:pPr>
      <w:r w:rsidRPr="00486C86">
        <w:rPr>
          <w:rFonts w:cstheme="minorHAnsi"/>
          <w:i/>
          <w:sz w:val="24"/>
          <w:szCs w:val="24"/>
          <w:lang w:val="en-IE"/>
        </w:rPr>
        <w:t>Actions supporting the implementation of River Information Services (RIS) for inland waterways.</w:t>
      </w:r>
    </w:p>
    <w:p w14:paraId="7BF28F2F" w14:textId="77777777" w:rsidR="00C76A64" w:rsidRPr="00486C86" w:rsidRDefault="00C76A64" w:rsidP="00C76A64">
      <w:pPr>
        <w:pStyle w:val="Odstavecseseznamem"/>
        <w:numPr>
          <w:ilvl w:val="0"/>
          <w:numId w:val="11"/>
        </w:numPr>
        <w:spacing w:after="160" w:line="256" w:lineRule="auto"/>
        <w:jc w:val="both"/>
        <w:rPr>
          <w:rFonts w:cstheme="minorHAnsi"/>
          <w:i/>
          <w:sz w:val="24"/>
          <w:szCs w:val="24"/>
          <w:lang w:val="en-IE"/>
        </w:rPr>
      </w:pPr>
      <w:r w:rsidRPr="00486C86">
        <w:rPr>
          <w:rFonts w:cstheme="minorHAnsi"/>
          <w:i/>
          <w:sz w:val="24"/>
          <w:szCs w:val="24"/>
          <w:lang w:val="en-IE"/>
        </w:rPr>
        <w:t>Actions supporting the implementation of European Maritime Single Window environment (</w:t>
      </w:r>
      <w:proofErr w:type="spellStart"/>
      <w:r w:rsidRPr="00486C86">
        <w:rPr>
          <w:rFonts w:cstheme="minorHAnsi"/>
          <w:i/>
          <w:sz w:val="24"/>
          <w:szCs w:val="24"/>
          <w:lang w:val="en-IE"/>
        </w:rPr>
        <w:t>EMSWe</w:t>
      </w:r>
      <w:proofErr w:type="spellEnd"/>
      <w:r w:rsidRPr="00486C86">
        <w:rPr>
          <w:rFonts w:cstheme="minorHAnsi"/>
          <w:i/>
          <w:sz w:val="24"/>
          <w:szCs w:val="24"/>
          <w:lang w:val="en-IE"/>
        </w:rPr>
        <w:t>).</w:t>
      </w:r>
    </w:p>
    <w:p w14:paraId="236BF73C" w14:textId="77777777" w:rsidR="00C76A64" w:rsidRPr="00486C86" w:rsidRDefault="00C76A64" w:rsidP="00C76A64">
      <w:pPr>
        <w:pStyle w:val="Odstavecseseznamem"/>
        <w:numPr>
          <w:ilvl w:val="0"/>
          <w:numId w:val="11"/>
        </w:numPr>
        <w:spacing w:after="160" w:line="256" w:lineRule="auto"/>
        <w:jc w:val="both"/>
        <w:rPr>
          <w:rFonts w:cstheme="minorHAnsi"/>
          <w:i/>
          <w:sz w:val="24"/>
          <w:szCs w:val="24"/>
          <w:lang w:val="en-IE"/>
        </w:rPr>
      </w:pPr>
      <w:r w:rsidRPr="00486C86">
        <w:rPr>
          <w:rFonts w:cstheme="minorHAnsi"/>
          <w:i/>
          <w:sz w:val="24"/>
          <w:szCs w:val="24"/>
          <w:lang w:val="en-IE"/>
        </w:rPr>
        <w:t>Actions supporting the implementation of Vessel Traffic Monitoring and Information Systems (VTMIS), inland single window, inland and maritime port community systems, and relevant customs information systems.</w:t>
      </w:r>
    </w:p>
    <w:p w14:paraId="7FF887B1" w14:textId="77777777" w:rsidR="00C76A64" w:rsidRPr="00486C86" w:rsidRDefault="00C76A64" w:rsidP="00C76A64">
      <w:pPr>
        <w:pStyle w:val="Odstavecseseznamem"/>
        <w:numPr>
          <w:ilvl w:val="0"/>
          <w:numId w:val="11"/>
        </w:numPr>
        <w:spacing w:after="160" w:line="256" w:lineRule="auto"/>
        <w:jc w:val="both"/>
        <w:rPr>
          <w:rFonts w:cstheme="minorHAnsi"/>
          <w:i/>
          <w:sz w:val="24"/>
          <w:szCs w:val="24"/>
          <w:lang w:val="en-IE"/>
        </w:rPr>
      </w:pPr>
      <w:r w:rsidRPr="00486C86">
        <w:rPr>
          <w:rFonts w:cstheme="minorHAnsi"/>
          <w:i/>
          <w:sz w:val="24"/>
          <w:szCs w:val="24"/>
          <w:lang w:val="en-IE"/>
        </w:rPr>
        <w:t xml:space="preserve">Actions supporting Member States to develop and implement IT platforms in accordance with the </w:t>
      </w:r>
      <w:proofErr w:type="spellStart"/>
      <w:r w:rsidRPr="00486C86">
        <w:rPr>
          <w:rFonts w:cstheme="minorHAnsi"/>
          <w:i/>
          <w:sz w:val="24"/>
          <w:szCs w:val="24"/>
          <w:lang w:val="en-IE"/>
        </w:rPr>
        <w:t>eFTI</w:t>
      </w:r>
      <w:proofErr w:type="spellEnd"/>
      <w:r w:rsidRPr="00486C86">
        <w:rPr>
          <w:rFonts w:cstheme="minorHAnsi"/>
          <w:i/>
          <w:sz w:val="24"/>
          <w:szCs w:val="24"/>
          <w:lang w:val="en-IE"/>
        </w:rPr>
        <w:t xml:space="preserve"> Regulation.</w:t>
      </w:r>
    </w:p>
    <w:p w14:paraId="7C7A9BC4" w14:textId="77777777" w:rsidR="00C76A64" w:rsidRPr="00486C86" w:rsidRDefault="00C76A64" w:rsidP="00C76A64">
      <w:pPr>
        <w:pStyle w:val="Odstavecseseznamem"/>
        <w:numPr>
          <w:ilvl w:val="0"/>
          <w:numId w:val="11"/>
        </w:numPr>
        <w:spacing w:after="160" w:line="256" w:lineRule="auto"/>
        <w:jc w:val="both"/>
        <w:rPr>
          <w:rFonts w:cstheme="minorHAnsi"/>
          <w:i/>
          <w:sz w:val="24"/>
          <w:szCs w:val="24"/>
          <w:lang w:val="en-IE"/>
        </w:rPr>
      </w:pPr>
      <w:r w:rsidRPr="00486C86">
        <w:rPr>
          <w:rFonts w:cstheme="minorHAnsi"/>
          <w:i/>
          <w:sz w:val="24"/>
          <w:szCs w:val="24"/>
          <w:lang w:val="en-IE"/>
        </w:rPr>
        <w:t>Where complementary and consistent with the activities supported by the Digital Europe Programme regarding Common Data Spaces, actions to support the creation, collection, management, sharing and dissemination of accurate and up-to-date transport, traffic and travel data for all modes, in particular enabling interoperability and through digitisation of processes, such as Actions related to increasing availability of data for transport safety, urban vehicle access regulations, collaborative logistics and multimodal travel with the aim to make them available to relevant public and/or private stakeholders, in particular for mobility and traffic management purposes and the implementation of sustainable urban mobility indicators (SUMI).</w:t>
      </w:r>
    </w:p>
    <w:p w14:paraId="06B6A1D2" w14:textId="77777777" w:rsidR="00C76A64" w:rsidRPr="008A41F1" w:rsidRDefault="00C76A64" w:rsidP="00C76A64">
      <w:pPr>
        <w:pStyle w:val="Odstavecseseznamem"/>
        <w:jc w:val="both"/>
        <w:rPr>
          <w:rFonts w:cstheme="minorHAnsi"/>
          <w:sz w:val="24"/>
          <w:szCs w:val="24"/>
          <w:lang w:val="en-IE"/>
        </w:rPr>
      </w:pPr>
    </w:p>
    <w:p w14:paraId="276AB342" w14:textId="77777777" w:rsidR="00C76A64" w:rsidRPr="00D760A3" w:rsidRDefault="00486C86" w:rsidP="00C76A64">
      <w:pPr>
        <w:ind w:left="360"/>
        <w:jc w:val="both"/>
        <w:rPr>
          <w:rFonts w:cstheme="minorHAnsi"/>
          <w:b/>
          <w:bCs/>
          <w:sz w:val="24"/>
          <w:szCs w:val="24"/>
        </w:rPr>
      </w:pPr>
      <w:r w:rsidRPr="00D760A3">
        <w:rPr>
          <w:rFonts w:cstheme="minorHAnsi"/>
          <w:b/>
          <w:bCs/>
          <w:sz w:val="24"/>
          <w:szCs w:val="24"/>
        </w:rPr>
        <w:t xml:space="preserve">Interoperabilita dopravy </w:t>
      </w:r>
      <w:r w:rsidRPr="00D760A3">
        <w:rPr>
          <w:rFonts w:cstheme="minorHAnsi"/>
          <w:bCs/>
          <w:i/>
          <w:sz w:val="24"/>
          <w:szCs w:val="24"/>
        </w:rPr>
        <w:t>(</w:t>
      </w:r>
      <w:r w:rsidR="00C76A64" w:rsidRPr="00D760A3">
        <w:rPr>
          <w:rFonts w:cstheme="minorHAnsi"/>
          <w:bCs/>
          <w:i/>
          <w:sz w:val="24"/>
          <w:szCs w:val="24"/>
        </w:rPr>
        <w:t>Transport interoperability</w:t>
      </w:r>
      <w:r w:rsidRPr="00D760A3">
        <w:rPr>
          <w:rFonts w:cstheme="minorHAnsi"/>
          <w:bCs/>
          <w:i/>
          <w:sz w:val="24"/>
          <w:szCs w:val="24"/>
        </w:rPr>
        <w:t>)</w:t>
      </w:r>
    </w:p>
    <w:p w14:paraId="436BA6C5" w14:textId="4E923812" w:rsidR="00486C86" w:rsidRPr="00D760A3" w:rsidRDefault="00486C86" w:rsidP="00C76A64">
      <w:pPr>
        <w:ind w:left="360"/>
        <w:jc w:val="both"/>
        <w:rPr>
          <w:rFonts w:cstheme="minorHAnsi"/>
          <w:sz w:val="24"/>
          <w:szCs w:val="24"/>
        </w:rPr>
      </w:pPr>
      <w:r w:rsidRPr="00D760A3">
        <w:rPr>
          <w:rFonts w:cstheme="minorHAnsi"/>
          <w:sz w:val="24"/>
          <w:szCs w:val="24"/>
        </w:rPr>
        <w:t>Podporované a</w:t>
      </w:r>
      <w:r w:rsidR="00D760A3">
        <w:rPr>
          <w:rFonts w:cstheme="minorHAnsi"/>
          <w:sz w:val="24"/>
          <w:szCs w:val="24"/>
        </w:rPr>
        <w:t>k</w:t>
      </w:r>
      <w:r w:rsidRPr="00D760A3">
        <w:rPr>
          <w:rFonts w:cstheme="minorHAnsi"/>
          <w:sz w:val="24"/>
          <w:szCs w:val="24"/>
        </w:rPr>
        <w:t>tivity:</w:t>
      </w:r>
    </w:p>
    <w:p w14:paraId="13E9AB76" w14:textId="77777777" w:rsidR="00486C86" w:rsidRPr="00D760A3" w:rsidRDefault="00486C86" w:rsidP="00486C86">
      <w:pPr>
        <w:pStyle w:val="Odstavecseseznamem"/>
        <w:numPr>
          <w:ilvl w:val="0"/>
          <w:numId w:val="3"/>
        </w:numPr>
        <w:jc w:val="both"/>
        <w:rPr>
          <w:rFonts w:cstheme="minorHAnsi"/>
          <w:sz w:val="24"/>
          <w:szCs w:val="24"/>
        </w:rPr>
      </w:pPr>
      <w:r w:rsidRPr="00D760A3">
        <w:rPr>
          <w:rFonts w:cstheme="minorHAnsi"/>
          <w:sz w:val="24"/>
          <w:szCs w:val="24"/>
        </w:rPr>
        <w:t>nové technologie a inovace, vč. automatizace</w:t>
      </w:r>
    </w:p>
    <w:p w14:paraId="066383D2" w14:textId="77777777" w:rsidR="00486C86" w:rsidRPr="00D760A3" w:rsidRDefault="00486C86" w:rsidP="00486C86">
      <w:pPr>
        <w:pStyle w:val="Odstavecseseznamem"/>
        <w:numPr>
          <w:ilvl w:val="0"/>
          <w:numId w:val="3"/>
        </w:numPr>
        <w:jc w:val="both"/>
        <w:rPr>
          <w:rFonts w:cstheme="minorHAnsi"/>
          <w:sz w:val="24"/>
          <w:szCs w:val="24"/>
        </w:rPr>
      </w:pPr>
      <w:r w:rsidRPr="00D760A3">
        <w:rPr>
          <w:rFonts w:cstheme="minorHAnsi"/>
          <w:sz w:val="24"/>
          <w:szCs w:val="24"/>
        </w:rPr>
        <w:t>zavádění TSI</w:t>
      </w:r>
    </w:p>
    <w:p w14:paraId="32C4BA60" w14:textId="5A7DDD09" w:rsidR="00486C86" w:rsidRPr="00D760A3" w:rsidRDefault="00486C86" w:rsidP="00486C86">
      <w:pPr>
        <w:ind w:left="360"/>
        <w:jc w:val="both"/>
        <w:rPr>
          <w:rFonts w:cstheme="minorHAnsi"/>
          <w:sz w:val="24"/>
          <w:szCs w:val="24"/>
        </w:rPr>
      </w:pPr>
      <w:r w:rsidRPr="00D760A3">
        <w:rPr>
          <w:rFonts w:cstheme="minorHAnsi"/>
          <w:sz w:val="24"/>
          <w:szCs w:val="24"/>
        </w:rPr>
        <w:t>Nebudou podporovány investice do vozidel</w:t>
      </w:r>
      <w:r w:rsidR="00D760A3">
        <w:rPr>
          <w:rFonts w:cstheme="minorHAnsi"/>
          <w:sz w:val="24"/>
          <w:szCs w:val="24"/>
        </w:rPr>
        <w:t>.</w:t>
      </w:r>
    </w:p>
    <w:p w14:paraId="402EB95C" w14:textId="77777777" w:rsidR="00486C86" w:rsidRDefault="00486C86" w:rsidP="00C76A64">
      <w:pPr>
        <w:ind w:left="360"/>
        <w:jc w:val="both"/>
        <w:rPr>
          <w:rFonts w:cstheme="minorHAnsi"/>
          <w:sz w:val="24"/>
          <w:szCs w:val="24"/>
          <w:lang w:val="en-IE"/>
        </w:rPr>
      </w:pPr>
    </w:p>
    <w:p w14:paraId="5B89D902" w14:textId="77777777" w:rsidR="00C76A64" w:rsidRPr="00486C86" w:rsidRDefault="00C76A64" w:rsidP="00C76A64">
      <w:pPr>
        <w:ind w:left="360"/>
        <w:jc w:val="both"/>
        <w:rPr>
          <w:rFonts w:cstheme="minorHAnsi"/>
          <w:b/>
          <w:bCs/>
          <w:i/>
          <w:sz w:val="24"/>
          <w:szCs w:val="24"/>
          <w:lang w:val="en-IE"/>
        </w:rPr>
      </w:pPr>
      <w:r w:rsidRPr="00486C86">
        <w:rPr>
          <w:rFonts w:cstheme="minorHAnsi"/>
          <w:i/>
          <w:sz w:val="24"/>
          <w:szCs w:val="24"/>
          <w:lang w:val="en-IE"/>
        </w:rPr>
        <w:t>The following Actions will be supported:</w:t>
      </w:r>
    </w:p>
    <w:p w14:paraId="525712B8" w14:textId="77777777" w:rsidR="00C76A64" w:rsidRPr="00486C86" w:rsidRDefault="00C76A64" w:rsidP="00C76A64">
      <w:pPr>
        <w:pStyle w:val="Odstavecseseznamem"/>
        <w:numPr>
          <w:ilvl w:val="0"/>
          <w:numId w:val="12"/>
        </w:numPr>
        <w:spacing w:after="160" w:line="256" w:lineRule="auto"/>
        <w:jc w:val="both"/>
        <w:rPr>
          <w:rFonts w:cstheme="minorHAnsi"/>
          <w:b/>
          <w:bCs/>
          <w:i/>
          <w:sz w:val="24"/>
          <w:szCs w:val="24"/>
          <w:lang w:val="en-IE"/>
        </w:rPr>
      </w:pPr>
      <w:r w:rsidRPr="00486C86">
        <w:rPr>
          <w:rFonts w:cstheme="minorHAnsi"/>
          <w:bCs/>
          <w:i/>
          <w:sz w:val="24"/>
          <w:szCs w:val="24"/>
          <w:lang w:val="en-IE"/>
        </w:rPr>
        <w:t xml:space="preserve">Actions supporting new technologies and innovation, including automation, </w:t>
      </w:r>
      <w:r w:rsidRPr="00486C86">
        <w:rPr>
          <w:rFonts w:cstheme="minorHAnsi"/>
          <w:i/>
          <w:sz w:val="24"/>
          <w:szCs w:val="24"/>
          <w:lang w:val="en-GB"/>
        </w:rPr>
        <w:t>integrated infrastructure capacity and traffic management</w:t>
      </w:r>
      <w:r w:rsidRPr="00486C86">
        <w:rPr>
          <w:rFonts w:cstheme="minorHAnsi"/>
          <w:i/>
          <w:lang w:val="en-GB"/>
        </w:rPr>
        <w:t xml:space="preserve">, </w:t>
      </w:r>
      <w:r w:rsidRPr="00486C86">
        <w:rPr>
          <w:rFonts w:cstheme="minorHAnsi"/>
          <w:bCs/>
          <w:i/>
          <w:sz w:val="24"/>
          <w:szCs w:val="24"/>
          <w:lang w:val="en-IE"/>
        </w:rPr>
        <w:t>enhanced transport services, modal integration</w:t>
      </w:r>
      <w:r w:rsidRPr="00486C86">
        <w:rPr>
          <w:rFonts w:cstheme="minorHAnsi"/>
          <w:i/>
          <w:sz w:val="24"/>
          <w:szCs w:val="24"/>
          <w:lang w:val="en-IE"/>
        </w:rPr>
        <w:t xml:space="preserve"> in accordance with Article 9(2)(b)(iv) of the CEF Regulation, including</w:t>
      </w:r>
      <w:r w:rsidRPr="00486C86">
        <w:rPr>
          <w:rFonts w:cstheme="minorHAnsi"/>
          <w:i/>
          <w:sz w:val="24"/>
          <w:szCs w:val="24"/>
          <w:lang w:val="en-GB"/>
        </w:rPr>
        <w:t xml:space="preserve"> aspects of the Mobility as a Service (</w:t>
      </w:r>
      <w:proofErr w:type="spellStart"/>
      <w:r w:rsidRPr="00486C86">
        <w:rPr>
          <w:rFonts w:cstheme="minorHAnsi"/>
          <w:i/>
          <w:sz w:val="24"/>
          <w:szCs w:val="24"/>
          <w:lang w:val="en-GB"/>
        </w:rPr>
        <w:t>MaaS</w:t>
      </w:r>
      <w:proofErr w:type="spellEnd"/>
      <w:r w:rsidRPr="00486C86">
        <w:rPr>
          <w:rFonts w:cstheme="minorHAnsi"/>
          <w:i/>
          <w:sz w:val="24"/>
          <w:szCs w:val="24"/>
          <w:lang w:val="en-GB"/>
        </w:rPr>
        <w:t>) development, such as combined and e-ticketing for passengers or track and tracing features for goods.</w:t>
      </w:r>
    </w:p>
    <w:p w14:paraId="7175F362" w14:textId="77777777" w:rsidR="00C76A64" w:rsidRPr="00486C86" w:rsidRDefault="00C76A64" w:rsidP="00C76A64">
      <w:pPr>
        <w:pStyle w:val="Odstavecseseznamem"/>
        <w:numPr>
          <w:ilvl w:val="0"/>
          <w:numId w:val="12"/>
        </w:numPr>
        <w:spacing w:after="160" w:line="256" w:lineRule="auto"/>
        <w:jc w:val="both"/>
        <w:rPr>
          <w:rFonts w:cstheme="minorHAnsi"/>
          <w:b/>
          <w:bCs/>
          <w:i/>
          <w:sz w:val="24"/>
          <w:szCs w:val="24"/>
          <w:lang w:val="en-IE"/>
        </w:rPr>
      </w:pPr>
      <w:r w:rsidRPr="00486C86">
        <w:rPr>
          <w:rFonts w:cstheme="minorHAnsi"/>
          <w:bCs/>
          <w:i/>
          <w:sz w:val="24"/>
          <w:szCs w:val="24"/>
          <w:lang w:val="en-IE"/>
        </w:rPr>
        <w:t xml:space="preserve">Actions removing interoperability barriers </w:t>
      </w:r>
      <w:r w:rsidRPr="00486C86">
        <w:rPr>
          <w:rFonts w:cstheme="minorHAnsi"/>
          <w:i/>
          <w:sz w:val="24"/>
          <w:szCs w:val="24"/>
          <w:lang w:val="en-IE"/>
        </w:rPr>
        <w:t>in compliance with the Technical Specifications for Interoperability (TSI) adopted by the Directive 2016/797 on the interoperability of the rail system</w:t>
      </w:r>
      <w:r w:rsidRPr="00486C86">
        <w:rPr>
          <w:rFonts w:cstheme="minorHAnsi"/>
          <w:bCs/>
          <w:i/>
          <w:sz w:val="24"/>
          <w:szCs w:val="24"/>
          <w:lang w:val="en-IE"/>
        </w:rPr>
        <w:t>, including automatic gauge-change facilities in rail freight traffic</w:t>
      </w:r>
      <w:r w:rsidRPr="00486C86">
        <w:rPr>
          <w:rFonts w:cstheme="minorHAnsi"/>
          <w:i/>
          <w:sz w:val="24"/>
          <w:szCs w:val="24"/>
          <w:lang w:val="en-IE"/>
        </w:rPr>
        <w:t xml:space="preserve"> in accordance with the Article 9(2</w:t>
      </w:r>
      <w:proofErr w:type="gramStart"/>
      <w:r w:rsidRPr="00486C86">
        <w:rPr>
          <w:rFonts w:cstheme="minorHAnsi"/>
          <w:i/>
          <w:sz w:val="24"/>
          <w:szCs w:val="24"/>
          <w:lang w:val="en-IE"/>
        </w:rPr>
        <w:t>)(</w:t>
      </w:r>
      <w:proofErr w:type="gramEnd"/>
      <w:r w:rsidRPr="00486C86">
        <w:rPr>
          <w:rFonts w:cstheme="minorHAnsi"/>
          <w:i/>
          <w:sz w:val="24"/>
          <w:szCs w:val="24"/>
          <w:lang w:val="en-IE"/>
        </w:rPr>
        <w:t>b)(v) of the CEF Regulation.</w:t>
      </w:r>
    </w:p>
    <w:p w14:paraId="5506EEEF" w14:textId="77777777" w:rsidR="00C76A64" w:rsidRPr="00486C86" w:rsidRDefault="00C76A64" w:rsidP="00C76A64">
      <w:pPr>
        <w:ind w:left="360"/>
        <w:jc w:val="both"/>
        <w:rPr>
          <w:rFonts w:cstheme="minorHAnsi"/>
          <w:b/>
          <w:bCs/>
          <w:i/>
          <w:sz w:val="24"/>
          <w:szCs w:val="24"/>
          <w:lang w:val="en-IE"/>
        </w:rPr>
      </w:pPr>
      <w:r w:rsidRPr="00486C86">
        <w:rPr>
          <w:rFonts w:cstheme="minorHAnsi"/>
          <w:i/>
          <w:sz w:val="24"/>
          <w:szCs w:val="24"/>
          <w:lang w:val="en-IE"/>
        </w:rPr>
        <w:t>Investments concerning rolling stock, notably the installation of sensors or other devices on wagons, will not be supported.</w:t>
      </w:r>
    </w:p>
    <w:p w14:paraId="06093C3E" w14:textId="77777777" w:rsidR="00C76A64" w:rsidRPr="008A41F1" w:rsidRDefault="00C76A64" w:rsidP="00C76A64">
      <w:pPr>
        <w:pStyle w:val="Odstavecseseznamem"/>
        <w:ind w:left="1728"/>
        <w:jc w:val="both"/>
        <w:rPr>
          <w:rFonts w:cstheme="minorHAnsi"/>
          <w:sz w:val="24"/>
          <w:szCs w:val="24"/>
          <w:lang w:val="en-IE"/>
        </w:rPr>
      </w:pPr>
    </w:p>
    <w:p w14:paraId="2B58BBD7" w14:textId="77777777" w:rsidR="00C76A64" w:rsidRPr="00486C86" w:rsidRDefault="00486C86" w:rsidP="00486C86">
      <w:pPr>
        <w:spacing w:after="160" w:line="256" w:lineRule="auto"/>
        <w:jc w:val="both"/>
        <w:rPr>
          <w:rFonts w:cstheme="minorHAnsi"/>
          <w:b/>
          <w:bCs/>
          <w:sz w:val="24"/>
          <w:szCs w:val="24"/>
          <w:lang w:val="en-IE"/>
        </w:rPr>
      </w:pPr>
      <w:r w:rsidRPr="00D760A3">
        <w:rPr>
          <w:rFonts w:cstheme="minorHAnsi"/>
          <w:b/>
          <w:bCs/>
          <w:sz w:val="24"/>
          <w:szCs w:val="24"/>
        </w:rPr>
        <w:t xml:space="preserve">2.2 </w:t>
      </w:r>
      <w:r w:rsidR="00C07568" w:rsidRPr="00D760A3">
        <w:rPr>
          <w:rFonts w:cstheme="minorHAnsi"/>
          <w:b/>
          <w:bCs/>
          <w:sz w:val="24"/>
          <w:szCs w:val="24"/>
        </w:rPr>
        <w:t>Udržitelná a multimodální mobilita</w:t>
      </w:r>
      <w:r w:rsidR="00C07568" w:rsidRPr="00C07568">
        <w:rPr>
          <w:rFonts w:cstheme="minorHAnsi"/>
          <w:bCs/>
          <w:i/>
          <w:sz w:val="24"/>
          <w:szCs w:val="24"/>
          <w:lang w:val="en-IE"/>
        </w:rPr>
        <w:t xml:space="preserve"> (</w:t>
      </w:r>
      <w:r w:rsidR="00C76A64" w:rsidRPr="00C07568">
        <w:rPr>
          <w:rFonts w:cstheme="minorHAnsi"/>
          <w:bCs/>
          <w:i/>
          <w:sz w:val="24"/>
          <w:szCs w:val="24"/>
          <w:lang w:val="en-IE"/>
        </w:rPr>
        <w:t>Actions related to sustainable and multimodal mobility</w:t>
      </w:r>
      <w:r w:rsidR="00C07568" w:rsidRPr="00C07568">
        <w:rPr>
          <w:rFonts w:cstheme="minorHAnsi"/>
          <w:bCs/>
          <w:i/>
          <w:sz w:val="24"/>
          <w:szCs w:val="24"/>
          <w:lang w:val="en-IE"/>
        </w:rPr>
        <w:t>)</w:t>
      </w:r>
    </w:p>
    <w:p w14:paraId="062AEC1E" w14:textId="77777777" w:rsidR="00C76A64" w:rsidRDefault="00C07568" w:rsidP="00C76A64">
      <w:pPr>
        <w:ind w:left="360"/>
        <w:jc w:val="both"/>
        <w:rPr>
          <w:rFonts w:cstheme="minorHAnsi"/>
          <w:bCs/>
          <w:i/>
          <w:sz w:val="24"/>
          <w:szCs w:val="24"/>
          <w:lang w:val="en-IE"/>
        </w:rPr>
      </w:pPr>
      <w:r w:rsidRPr="00D760A3">
        <w:rPr>
          <w:rFonts w:cstheme="minorHAnsi"/>
          <w:b/>
          <w:bCs/>
          <w:sz w:val="24"/>
          <w:szCs w:val="24"/>
        </w:rPr>
        <w:t>Infrastruktura pro alternativní paliva</w:t>
      </w:r>
      <w:r>
        <w:rPr>
          <w:rFonts w:cstheme="minorHAnsi"/>
          <w:b/>
          <w:bCs/>
          <w:sz w:val="24"/>
          <w:szCs w:val="24"/>
          <w:lang w:val="en-IE"/>
        </w:rPr>
        <w:t xml:space="preserve"> </w:t>
      </w:r>
      <w:r w:rsidRPr="00C07568">
        <w:rPr>
          <w:rFonts w:cstheme="minorHAnsi"/>
          <w:bCs/>
          <w:i/>
          <w:sz w:val="24"/>
          <w:szCs w:val="24"/>
          <w:lang w:val="en-IE"/>
        </w:rPr>
        <w:t>(</w:t>
      </w:r>
      <w:r w:rsidR="00C76A64" w:rsidRPr="00C07568">
        <w:rPr>
          <w:rFonts w:cstheme="minorHAnsi"/>
          <w:bCs/>
          <w:i/>
          <w:sz w:val="24"/>
          <w:szCs w:val="24"/>
          <w:lang w:val="en-IE"/>
        </w:rPr>
        <w:t>Alternative fuels infrastructure</w:t>
      </w:r>
      <w:r w:rsidRPr="00C07568">
        <w:rPr>
          <w:rFonts w:cstheme="minorHAnsi"/>
          <w:bCs/>
          <w:i/>
          <w:sz w:val="24"/>
          <w:szCs w:val="24"/>
          <w:lang w:val="en-IE"/>
        </w:rPr>
        <w:t>)</w:t>
      </w:r>
    </w:p>
    <w:p w14:paraId="37B0F98A" w14:textId="7853CC66" w:rsidR="00C07568" w:rsidRPr="00D760A3" w:rsidRDefault="00C07568" w:rsidP="00C76A64">
      <w:pPr>
        <w:ind w:left="360"/>
        <w:jc w:val="both"/>
        <w:rPr>
          <w:rFonts w:cstheme="minorHAnsi"/>
          <w:bCs/>
          <w:sz w:val="24"/>
          <w:szCs w:val="24"/>
        </w:rPr>
      </w:pPr>
      <w:r w:rsidRPr="00D760A3">
        <w:rPr>
          <w:rFonts w:cstheme="minorHAnsi"/>
          <w:bCs/>
          <w:sz w:val="24"/>
          <w:szCs w:val="24"/>
        </w:rPr>
        <w:t>Podporované a</w:t>
      </w:r>
      <w:r w:rsidR="00D760A3" w:rsidRPr="00D760A3">
        <w:rPr>
          <w:rFonts w:cstheme="minorHAnsi"/>
          <w:bCs/>
          <w:sz w:val="24"/>
          <w:szCs w:val="24"/>
        </w:rPr>
        <w:t>k</w:t>
      </w:r>
      <w:r w:rsidRPr="00D760A3">
        <w:rPr>
          <w:rFonts w:cstheme="minorHAnsi"/>
          <w:bCs/>
          <w:sz w:val="24"/>
          <w:szCs w:val="24"/>
        </w:rPr>
        <w:t>tivity:</w:t>
      </w:r>
    </w:p>
    <w:p w14:paraId="1B61F748" w14:textId="7C8FADE3" w:rsidR="00C07568" w:rsidRPr="00D760A3" w:rsidRDefault="00C07568" w:rsidP="00C07568">
      <w:pPr>
        <w:pStyle w:val="Odstavecseseznamem"/>
        <w:numPr>
          <w:ilvl w:val="0"/>
          <w:numId w:val="3"/>
        </w:numPr>
        <w:jc w:val="both"/>
        <w:rPr>
          <w:rFonts w:cstheme="minorHAnsi"/>
          <w:bCs/>
          <w:sz w:val="24"/>
          <w:szCs w:val="24"/>
        </w:rPr>
      </w:pPr>
      <w:r w:rsidRPr="00D760A3">
        <w:rPr>
          <w:rFonts w:cstheme="minorHAnsi"/>
          <w:bCs/>
          <w:sz w:val="24"/>
          <w:szCs w:val="24"/>
        </w:rPr>
        <w:t>dobíjecí stanic</w:t>
      </w:r>
      <w:r w:rsidR="006F0804" w:rsidRPr="00D760A3">
        <w:rPr>
          <w:rFonts w:cstheme="minorHAnsi"/>
          <w:bCs/>
          <w:sz w:val="24"/>
          <w:szCs w:val="24"/>
        </w:rPr>
        <w:t>e</w:t>
      </w:r>
      <w:r w:rsidR="00D760A3">
        <w:rPr>
          <w:rFonts w:cstheme="minorHAnsi"/>
          <w:bCs/>
          <w:sz w:val="24"/>
          <w:szCs w:val="24"/>
        </w:rPr>
        <w:t xml:space="preserve"> pro elektromobil</w:t>
      </w:r>
      <w:r w:rsidRPr="00D760A3">
        <w:rPr>
          <w:rFonts w:cstheme="minorHAnsi"/>
          <w:bCs/>
          <w:sz w:val="24"/>
          <w:szCs w:val="24"/>
        </w:rPr>
        <w:t>y, se zaměřením na dopravu na dlouhé vzdálenosti</w:t>
      </w:r>
    </w:p>
    <w:p w14:paraId="185837F6" w14:textId="77777777" w:rsidR="00C07568" w:rsidRPr="00D760A3" w:rsidRDefault="006F0804" w:rsidP="00C07568">
      <w:pPr>
        <w:pStyle w:val="Odstavecseseznamem"/>
        <w:numPr>
          <w:ilvl w:val="0"/>
          <w:numId w:val="3"/>
        </w:numPr>
        <w:jc w:val="both"/>
        <w:rPr>
          <w:rFonts w:cstheme="minorHAnsi"/>
          <w:bCs/>
          <w:sz w:val="24"/>
          <w:szCs w:val="24"/>
        </w:rPr>
      </w:pPr>
      <w:r w:rsidRPr="00D760A3">
        <w:rPr>
          <w:rFonts w:cstheme="minorHAnsi"/>
          <w:bCs/>
          <w:sz w:val="24"/>
          <w:szCs w:val="24"/>
        </w:rPr>
        <w:t>zavádění plnicích vodíkových stanic</w:t>
      </w:r>
    </w:p>
    <w:p w14:paraId="0B6791B1" w14:textId="0A535E56" w:rsidR="006F0804" w:rsidRPr="00D760A3" w:rsidRDefault="006F0804" w:rsidP="00C07568">
      <w:pPr>
        <w:pStyle w:val="Odstavecseseznamem"/>
        <w:numPr>
          <w:ilvl w:val="0"/>
          <w:numId w:val="3"/>
        </w:numPr>
        <w:jc w:val="both"/>
        <w:rPr>
          <w:rFonts w:cstheme="minorHAnsi"/>
          <w:bCs/>
          <w:sz w:val="24"/>
          <w:szCs w:val="24"/>
        </w:rPr>
      </w:pPr>
      <w:r w:rsidRPr="00D760A3">
        <w:rPr>
          <w:rFonts w:cstheme="minorHAnsi"/>
          <w:bCs/>
          <w:sz w:val="24"/>
          <w:szCs w:val="24"/>
        </w:rPr>
        <w:t>plnicí stanice na LNG s vysokým podílem bioplynu</w:t>
      </w:r>
      <w:r w:rsidR="007F40BF">
        <w:rPr>
          <w:rFonts w:cstheme="minorHAnsi"/>
          <w:bCs/>
          <w:sz w:val="24"/>
          <w:szCs w:val="24"/>
        </w:rPr>
        <w:t xml:space="preserve"> (nejméně 20 %, výzva může stanovit vyšší úroveň)</w:t>
      </w:r>
      <w:r w:rsidRPr="00D760A3">
        <w:rPr>
          <w:rFonts w:cstheme="minorHAnsi"/>
          <w:bCs/>
          <w:sz w:val="24"/>
          <w:szCs w:val="24"/>
        </w:rPr>
        <w:t xml:space="preserve"> pro nákladní dopravu</w:t>
      </w:r>
    </w:p>
    <w:p w14:paraId="1F4CE50E" w14:textId="77777777" w:rsidR="00DE5B00" w:rsidRPr="00D760A3" w:rsidRDefault="006F0804" w:rsidP="00C07568">
      <w:pPr>
        <w:pStyle w:val="Odstavecseseznamem"/>
        <w:numPr>
          <w:ilvl w:val="0"/>
          <w:numId w:val="3"/>
        </w:numPr>
        <w:jc w:val="both"/>
        <w:rPr>
          <w:rFonts w:cstheme="minorHAnsi"/>
          <w:bCs/>
          <w:sz w:val="24"/>
          <w:szCs w:val="24"/>
        </w:rPr>
      </w:pPr>
      <w:r w:rsidRPr="00D760A3">
        <w:rPr>
          <w:rFonts w:cstheme="minorHAnsi"/>
          <w:bCs/>
          <w:sz w:val="24"/>
          <w:szCs w:val="24"/>
        </w:rPr>
        <w:t xml:space="preserve">elektrické dobíjecí stanice a vodíkové plnicí stanice pro </w:t>
      </w:r>
      <w:r w:rsidR="00DE5B00" w:rsidRPr="00D760A3">
        <w:rPr>
          <w:rFonts w:cstheme="minorHAnsi"/>
          <w:bCs/>
          <w:sz w:val="24"/>
          <w:szCs w:val="24"/>
        </w:rPr>
        <w:t>veřejnou dopravu v městských uzlech</w:t>
      </w:r>
    </w:p>
    <w:p w14:paraId="63FC14F0" w14:textId="77777777" w:rsidR="006F0804" w:rsidRPr="00D760A3" w:rsidRDefault="006F0804" w:rsidP="00C07568">
      <w:pPr>
        <w:pStyle w:val="Odstavecseseznamem"/>
        <w:numPr>
          <w:ilvl w:val="0"/>
          <w:numId w:val="3"/>
        </w:numPr>
        <w:jc w:val="both"/>
        <w:rPr>
          <w:rFonts w:cstheme="minorHAnsi"/>
          <w:bCs/>
          <w:sz w:val="24"/>
          <w:szCs w:val="24"/>
        </w:rPr>
      </w:pPr>
      <w:r w:rsidRPr="00D760A3">
        <w:rPr>
          <w:rFonts w:cstheme="minorHAnsi"/>
          <w:bCs/>
          <w:sz w:val="24"/>
          <w:szCs w:val="24"/>
        </w:rPr>
        <w:t xml:space="preserve"> </w:t>
      </w:r>
      <w:r w:rsidR="00DE5B00" w:rsidRPr="00D760A3">
        <w:rPr>
          <w:rFonts w:cstheme="minorHAnsi"/>
          <w:bCs/>
          <w:sz w:val="24"/>
          <w:szCs w:val="24"/>
        </w:rPr>
        <w:t>zavádění alternativních paliv na vnitrozemských vodních cestách, v přístavech a na letištích</w:t>
      </w:r>
    </w:p>
    <w:p w14:paraId="58BC26A2" w14:textId="77777777" w:rsidR="00DE5B00" w:rsidRPr="00D760A3" w:rsidRDefault="00DE5B00" w:rsidP="00C07568">
      <w:pPr>
        <w:pStyle w:val="Odstavecseseznamem"/>
        <w:numPr>
          <w:ilvl w:val="0"/>
          <w:numId w:val="3"/>
        </w:numPr>
        <w:jc w:val="both"/>
        <w:rPr>
          <w:rFonts w:cstheme="minorHAnsi"/>
          <w:bCs/>
          <w:sz w:val="24"/>
          <w:szCs w:val="24"/>
        </w:rPr>
      </w:pPr>
      <w:r w:rsidRPr="00D760A3">
        <w:rPr>
          <w:rFonts w:cstheme="minorHAnsi"/>
          <w:bCs/>
          <w:sz w:val="24"/>
          <w:szCs w:val="24"/>
        </w:rPr>
        <w:t>projekty na doplňování LNG v přístavech</w:t>
      </w:r>
    </w:p>
    <w:p w14:paraId="452300D3" w14:textId="77777777" w:rsidR="00224BBB" w:rsidRPr="00D760A3" w:rsidRDefault="00DE5B00" w:rsidP="00C76A64">
      <w:pPr>
        <w:ind w:left="360"/>
        <w:jc w:val="both"/>
        <w:rPr>
          <w:rFonts w:cstheme="minorHAnsi"/>
          <w:sz w:val="24"/>
          <w:szCs w:val="24"/>
        </w:rPr>
      </w:pPr>
      <w:r w:rsidRPr="00D760A3">
        <w:rPr>
          <w:rFonts w:cstheme="minorHAnsi"/>
          <w:sz w:val="24"/>
          <w:szCs w:val="24"/>
        </w:rPr>
        <w:t>Nebudou podporovány vozidla/plavidla s výjimkou omezeného počtu plavidel nutných pro rozběhnutí projektu na podporu dobíjecí</w:t>
      </w:r>
      <w:r w:rsidR="00224BBB" w:rsidRPr="00D760A3">
        <w:rPr>
          <w:rFonts w:cstheme="minorHAnsi"/>
          <w:sz w:val="24"/>
          <w:szCs w:val="24"/>
        </w:rPr>
        <w:t>ch</w:t>
      </w:r>
      <w:r w:rsidRPr="00D760A3">
        <w:rPr>
          <w:rFonts w:cstheme="minorHAnsi"/>
          <w:sz w:val="24"/>
          <w:szCs w:val="24"/>
        </w:rPr>
        <w:t>/</w:t>
      </w:r>
      <w:r w:rsidR="00224BBB" w:rsidRPr="00D760A3">
        <w:rPr>
          <w:rFonts w:cstheme="minorHAnsi"/>
          <w:sz w:val="24"/>
          <w:szCs w:val="24"/>
        </w:rPr>
        <w:t>plnicích stanic.</w:t>
      </w:r>
    </w:p>
    <w:p w14:paraId="3219BC63" w14:textId="466C350C" w:rsidR="00224BBB" w:rsidRDefault="00224BBB" w:rsidP="00DC686F">
      <w:pPr>
        <w:ind w:left="360"/>
        <w:jc w:val="both"/>
        <w:rPr>
          <w:rFonts w:cstheme="minorHAnsi"/>
          <w:sz w:val="24"/>
          <w:szCs w:val="24"/>
        </w:rPr>
      </w:pPr>
      <w:r w:rsidRPr="00D760A3">
        <w:rPr>
          <w:rFonts w:cstheme="minorHAnsi"/>
          <w:sz w:val="24"/>
          <w:szCs w:val="24"/>
        </w:rPr>
        <w:t>Podmínkou získání dotace bude získání bankovního úvěru</w:t>
      </w:r>
      <w:r w:rsidR="00940E0A">
        <w:rPr>
          <w:rFonts w:cstheme="minorHAnsi"/>
          <w:sz w:val="24"/>
          <w:szCs w:val="24"/>
        </w:rPr>
        <w:t xml:space="preserve"> (alespoň 10 % celkových nákladů projektu)</w:t>
      </w:r>
      <w:r w:rsidRPr="00D760A3">
        <w:rPr>
          <w:rFonts w:cstheme="minorHAnsi"/>
          <w:sz w:val="24"/>
          <w:szCs w:val="24"/>
        </w:rPr>
        <w:t xml:space="preserve">. Část aktivit bude podporována prostřednictvím jednotkových </w:t>
      </w:r>
      <w:r w:rsidR="00940E0A">
        <w:rPr>
          <w:rFonts w:cstheme="minorHAnsi"/>
          <w:sz w:val="24"/>
          <w:szCs w:val="24"/>
        </w:rPr>
        <w:t>příspěvků</w:t>
      </w:r>
      <w:r w:rsidRPr="00D760A3">
        <w:rPr>
          <w:rFonts w:cstheme="minorHAnsi"/>
          <w:sz w:val="24"/>
          <w:szCs w:val="24"/>
        </w:rPr>
        <w:t xml:space="preserve"> (pevné výše dotace na jednotku výstupu).</w:t>
      </w:r>
      <w:r w:rsidR="00940E0A">
        <w:rPr>
          <w:rFonts w:cstheme="minorHAnsi"/>
          <w:sz w:val="24"/>
          <w:szCs w:val="24"/>
        </w:rPr>
        <w:t xml:space="preserve"> </w:t>
      </w:r>
      <w:r w:rsidR="00940E0A" w:rsidRPr="00940E0A">
        <w:rPr>
          <w:rFonts w:cstheme="minorHAnsi"/>
          <w:color w:val="FF0000"/>
          <w:sz w:val="24"/>
          <w:szCs w:val="24"/>
        </w:rPr>
        <w:t>Výše příspěvku dosud nestanovena, aktuální návrh</w:t>
      </w:r>
      <w:r w:rsidR="00940E0A">
        <w:rPr>
          <w:rFonts w:cstheme="minorHAnsi"/>
          <w:sz w:val="24"/>
          <w:szCs w:val="24"/>
        </w:rPr>
        <w:t>:</w:t>
      </w:r>
      <w:r w:rsidR="00940E0A" w:rsidRPr="00940E0A">
        <w:rPr>
          <w:rFonts w:cstheme="minorHAnsi"/>
          <w:sz w:val="24"/>
          <w:szCs w:val="24"/>
        </w:rPr>
        <w:t xml:space="preserve"> </w:t>
      </w:r>
    </w:p>
    <w:p w14:paraId="4199D972" w14:textId="4EF858CE" w:rsidR="007F40BF" w:rsidRPr="00D760A3" w:rsidRDefault="00940E0A" w:rsidP="00C76A64">
      <w:pPr>
        <w:ind w:left="360"/>
        <w:jc w:val="both"/>
        <w:rPr>
          <w:rFonts w:cstheme="minorHAnsi"/>
          <w:sz w:val="24"/>
          <w:szCs w:val="24"/>
        </w:rPr>
      </w:pPr>
      <w:r w:rsidRPr="00940E0A">
        <w:rPr>
          <w:rFonts w:cstheme="minorHAnsi"/>
          <w:noProof/>
          <w:sz w:val="24"/>
          <w:szCs w:val="24"/>
          <w:lang w:eastAsia="cs-CZ"/>
        </w:rPr>
        <w:drawing>
          <wp:inline distT="0" distB="0" distL="0" distR="0" wp14:anchorId="2873BF5D" wp14:editId="55C17A3C">
            <wp:extent cx="5760720" cy="3239770"/>
            <wp:effectExtent l="19050" t="19050" r="11430" b="177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239770"/>
                    </a:xfrm>
                    <a:prstGeom prst="rect">
                      <a:avLst/>
                    </a:prstGeom>
                    <a:ln>
                      <a:solidFill>
                        <a:schemeClr val="tx1"/>
                      </a:solidFill>
                    </a:ln>
                  </pic:spPr>
                </pic:pic>
              </a:graphicData>
            </a:graphic>
          </wp:inline>
        </w:drawing>
      </w:r>
    </w:p>
    <w:p w14:paraId="205CFE34" w14:textId="149CE1C4" w:rsidR="00224BBB" w:rsidRDefault="00940E0A" w:rsidP="00C76A64">
      <w:pPr>
        <w:ind w:left="360"/>
        <w:jc w:val="both"/>
        <w:rPr>
          <w:rFonts w:cstheme="minorHAnsi"/>
          <w:i/>
          <w:sz w:val="24"/>
          <w:szCs w:val="24"/>
          <w:lang w:val="en-IE"/>
        </w:rPr>
      </w:pPr>
      <w:r>
        <w:rPr>
          <w:rFonts w:cstheme="minorHAnsi"/>
          <w:sz w:val="24"/>
          <w:szCs w:val="24"/>
        </w:rPr>
        <w:t xml:space="preserve">Pozn.: Gen </w:t>
      </w:r>
      <w:proofErr w:type="spellStart"/>
      <w:r>
        <w:rPr>
          <w:rFonts w:cstheme="minorHAnsi"/>
          <w:sz w:val="24"/>
          <w:szCs w:val="24"/>
        </w:rPr>
        <w:t>Env</w:t>
      </w:r>
      <w:proofErr w:type="spellEnd"/>
      <w:r>
        <w:rPr>
          <w:rFonts w:cstheme="minorHAnsi"/>
          <w:sz w:val="24"/>
          <w:szCs w:val="24"/>
        </w:rPr>
        <w:t xml:space="preserve"> = obecná obálka / CF </w:t>
      </w:r>
      <w:proofErr w:type="spellStart"/>
      <w:r>
        <w:rPr>
          <w:rFonts w:cstheme="minorHAnsi"/>
          <w:sz w:val="24"/>
          <w:szCs w:val="24"/>
        </w:rPr>
        <w:t>Env</w:t>
      </w:r>
      <w:proofErr w:type="spellEnd"/>
      <w:r>
        <w:rPr>
          <w:rFonts w:cstheme="minorHAnsi"/>
          <w:sz w:val="24"/>
          <w:szCs w:val="24"/>
        </w:rPr>
        <w:t xml:space="preserve"> = kohezní obálka</w:t>
      </w:r>
    </w:p>
    <w:p w14:paraId="2A90DB5F" w14:textId="77777777" w:rsidR="00C76A64" w:rsidRPr="00DE5B00" w:rsidRDefault="00C76A64" w:rsidP="00C76A64">
      <w:pPr>
        <w:ind w:left="360"/>
        <w:jc w:val="both"/>
        <w:rPr>
          <w:rFonts w:cstheme="minorHAnsi"/>
          <w:i/>
          <w:sz w:val="24"/>
          <w:szCs w:val="24"/>
          <w:lang w:val="en-IE"/>
        </w:rPr>
      </w:pPr>
      <w:r w:rsidRPr="00DE5B00">
        <w:rPr>
          <w:rFonts w:cstheme="minorHAnsi"/>
          <w:i/>
          <w:sz w:val="24"/>
          <w:szCs w:val="24"/>
          <w:lang w:val="en-IE"/>
        </w:rPr>
        <w:t>In accordance with Article 9(2</w:t>
      </w:r>
      <w:proofErr w:type="gramStart"/>
      <w:r w:rsidRPr="00DE5B00">
        <w:rPr>
          <w:rFonts w:cstheme="minorHAnsi"/>
          <w:i/>
          <w:sz w:val="24"/>
          <w:szCs w:val="24"/>
          <w:lang w:val="en-IE"/>
        </w:rPr>
        <w:t>)(</w:t>
      </w:r>
      <w:proofErr w:type="gramEnd"/>
      <w:r w:rsidRPr="00DE5B00">
        <w:rPr>
          <w:rFonts w:cstheme="minorHAnsi"/>
          <w:i/>
          <w:sz w:val="24"/>
          <w:szCs w:val="24"/>
          <w:lang w:val="en-IE"/>
        </w:rPr>
        <w:t>b)(iv) of the CEF Regulation, the following Actions will be supported:</w:t>
      </w:r>
    </w:p>
    <w:p w14:paraId="123C941F" w14:textId="77777777" w:rsidR="00C76A64" w:rsidRPr="00DE5B00" w:rsidRDefault="00C76A64" w:rsidP="00C76A64">
      <w:pPr>
        <w:pStyle w:val="Odstavecseseznamem"/>
        <w:numPr>
          <w:ilvl w:val="0"/>
          <w:numId w:val="12"/>
        </w:numPr>
        <w:spacing w:after="160" w:line="256" w:lineRule="auto"/>
        <w:jc w:val="both"/>
        <w:rPr>
          <w:rFonts w:cstheme="minorHAnsi"/>
          <w:bCs/>
          <w:i/>
          <w:sz w:val="24"/>
          <w:szCs w:val="24"/>
          <w:lang w:val="en-IE"/>
        </w:rPr>
      </w:pPr>
      <w:r w:rsidRPr="00DE5B00">
        <w:rPr>
          <w:rFonts w:cstheme="minorHAnsi"/>
          <w:bCs/>
          <w:i/>
          <w:sz w:val="24"/>
          <w:szCs w:val="24"/>
          <w:lang w:val="en-IE"/>
        </w:rPr>
        <w:t>Actions supporting the roll-out of electricity fast-charging infrastructure on the TEN-T road network, in particular relating to long-distance travel, less densely populated areas, and heavy-duty transport such as buses, coaches and freight;</w:t>
      </w:r>
    </w:p>
    <w:p w14:paraId="390B1D1D" w14:textId="77777777" w:rsidR="00C76A64" w:rsidRPr="00DE5B00" w:rsidRDefault="00C76A64" w:rsidP="00C76A64">
      <w:pPr>
        <w:pStyle w:val="Odstavecseseznamem"/>
        <w:numPr>
          <w:ilvl w:val="0"/>
          <w:numId w:val="12"/>
        </w:numPr>
        <w:spacing w:after="160" w:line="256" w:lineRule="auto"/>
        <w:jc w:val="both"/>
        <w:rPr>
          <w:rFonts w:cstheme="minorHAnsi"/>
          <w:bCs/>
          <w:i/>
          <w:sz w:val="24"/>
          <w:szCs w:val="24"/>
          <w:lang w:val="en-IE"/>
        </w:rPr>
      </w:pPr>
      <w:r w:rsidRPr="00DE5B00">
        <w:rPr>
          <w:rFonts w:cstheme="minorHAnsi"/>
          <w:bCs/>
          <w:i/>
          <w:sz w:val="24"/>
          <w:szCs w:val="24"/>
          <w:lang w:val="en-IE"/>
        </w:rPr>
        <w:t>Actions supporting the roll-out of hydrogen refuelling infrastructure on the TEN-T road network;</w:t>
      </w:r>
    </w:p>
    <w:p w14:paraId="7A68AFAF" w14:textId="77777777" w:rsidR="00C76A64" w:rsidRPr="00DE5B00" w:rsidRDefault="00C76A64" w:rsidP="00C76A64">
      <w:pPr>
        <w:pStyle w:val="Odstavecseseznamem"/>
        <w:numPr>
          <w:ilvl w:val="0"/>
          <w:numId w:val="12"/>
        </w:numPr>
        <w:spacing w:after="160" w:line="256" w:lineRule="auto"/>
        <w:jc w:val="both"/>
        <w:rPr>
          <w:rFonts w:cstheme="minorHAnsi"/>
          <w:bCs/>
          <w:i/>
          <w:sz w:val="24"/>
          <w:szCs w:val="24"/>
          <w:lang w:val="en-IE"/>
        </w:rPr>
      </w:pPr>
      <w:r w:rsidRPr="00DE5B00">
        <w:rPr>
          <w:rFonts w:cstheme="minorHAnsi"/>
          <w:bCs/>
          <w:i/>
          <w:sz w:val="24"/>
          <w:szCs w:val="24"/>
          <w:lang w:val="en-IE"/>
        </w:rPr>
        <w:t>Actions supporting the roll-out of refuelling infrastructure for LNG with high blend of biogas for heavy-duty vehicles on the TEN-T road network;</w:t>
      </w:r>
    </w:p>
    <w:p w14:paraId="1D28B7B9" w14:textId="77777777" w:rsidR="00C76A64" w:rsidRPr="00DE5B00" w:rsidRDefault="00C76A64" w:rsidP="00C76A64">
      <w:pPr>
        <w:pStyle w:val="Odstavecseseznamem"/>
        <w:numPr>
          <w:ilvl w:val="0"/>
          <w:numId w:val="12"/>
        </w:numPr>
        <w:spacing w:after="160" w:line="256" w:lineRule="auto"/>
        <w:jc w:val="both"/>
        <w:rPr>
          <w:rFonts w:cstheme="minorHAnsi"/>
          <w:bCs/>
          <w:i/>
          <w:sz w:val="24"/>
          <w:szCs w:val="24"/>
          <w:lang w:val="en-IE"/>
        </w:rPr>
      </w:pPr>
      <w:r w:rsidRPr="00DE5B00">
        <w:rPr>
          <w:rFonts w:cstheme="minorHAnsi"/>
          <w:bCs/>
          <w:i/>
          <w:sz w:val="24"/>
          <w:szCs w:val="24"/>
          <w:lang w:val="en-IE"/>
        </w:rPr>
        <w:t>Actions supporting the roll-out of hydrogen refuelling and electricity recharging infrastructure dedicated to public transport in urban nodes, e.g. recharging infrastructure in depots, opportunity-based charging devices and related energy storage facility systems;</w:t>
      </w:r>
    </w:p>
    <w:p w14:paraId="3E1D0475" w14:textId="77777777" w:rsidR="00C76A64" w:rsidRPr="00DE5B00" w:rsidRDefault="00C76A64" w:rsidP="00C76A64">
      <w:pPr>
        <w:pStyle w:val="Odstavecseseznamem"/>
        <w:numPr>
          <w:ilvl w:val="0"/>
          <w:numId w:val="12"/>
        </w:numPr>
        <w:spacing w:after="160" w:line="256" w:lineRule="auto"/>
        <w:jc w:val="both"/>
        <w:rPr>
          <w:rFonts w:cstheme="minorHAnsi"/>
          <w:i/>
          <w:lang w:val="en-IE"/>
        </w:rPr>
      </w:pPr>
      <w:r w:rsidRPr="00DE5B00">
        <w:rPr>
          <w:rFonts w:cstheme="minorHAnsi"/>
          <w:bCs/>
          <w:i/>
          <w:sz w:val="24"/>
          <w:szCs w:val="24"/>
          <w:lang w:val="en-IE"/>
        </w:rPr>
        <w:t>Actions supporting the deployment of alternative fuels for TEN-T maritime ports, inland waterways and inland ports, and airports, e.g., hydrogen, electrification of airport ground operations, supply infrastructure and storage of liquid alternative fuels etc., in accordance with Directive 2014/94/EU;</w:t>
      </w:r>
    </w:p>
    <w:p w14:paraId="7A40C495" w14:textId="77777777" w:rsidR="00C76A64" w:rsidRPr="00DE5B00" w:rsidRDefault="00C76A64" w:rsidP="00C76A64">
      <w:pPr>
        <w:pStyle w:val="Odstavecseseznamem"/>
        <w:numPr>
          <w:ilvl w:val="0"/>
          <w:numId w:val="12"/>
        </w:numPr>
        <w:spacing w:after="160" w:line="256" w:lineRule="auto"/>
        <w:jc w:val="both"/>
        <w:rPr>
          <w:rFonts w:cstheme="minorHAnsi"/>
          <w:i/>
          <w:lang w:val="en-IE"/>
        </w:rPr>
      </w:pPr>
      <w:r w:rsidRPr="00DE5B00">
        <w:rPr>
          <w:rFonts w:cstheme="minorHAnsi"/>
          <w:bCs/>
          <w:i/>
          <w:sz w:val="24"/>
          <w:szCs w:val="24"/>
          <w:lang w:val="en-IE"/>
        </w:rPr>
        <w:t>Actions supporting LNG bunkering for TEN-T maritime and inland ports.</w:t>
      </w:r>
    </w:p>
    <w:p w14:paraId="21C27E4B" w14:textId="77777777" w:rsidR="00C76A64" w:rsidRPr="00224BBB" w:rsidRDefault="00C76A64" w:rsidP="00C76A64">
      <w:pPr>
        <w:ind w:left="360"/>
        <w:jc w:val="both"/>
        <w:rPr>
          <w:rFonts w:cstheme="minorHAnsi"/>
          <w:i/>
          <w:sz w:val="24"/>
          <w:szCs w:val="24"/>
          <w:lang w:val="en-IE"/>
        </w:rPr>
      </w:pPr>
      <w:r w:rsidRPr="00224BBB">
        <w:rPr>
          <w:rFonts w:cstheme="minorHAnsi"/>
          <w:i/>
          <w:sz w:val="24"/>
          <w:szCs w:val="24"/>
          <w:lang w:val="en-IE"/>
        </w:rPr>
        <w:t xml:space="preserve">Costs related to vehicles or vessels will not be eligible, except in the case of IWW and short- </w:t>
      </w:r>
      <w:proofErr w:type="gramStart"/>
      <w:r w:rsidRPr="00224BBB">
        <w:rPr>
          <w:rFonts w:cstheme="minorHAnsi"/>
          <w:i/>
          <w:sz w:val="24"/>
          <w:szCs w:val="24"/>
          <w:lang w:val="en-IE"/>
        </w:rPr>
        <w:t>sea</w:t>
      </w:r>
      <w:proofErr w:type="gramEnd"/>
      <w:r w:rsidRPr="00224BBB">
        <w:rPr>
          <w:rFonts w:cstheme="minorHAnsi"/>
          <w:i/>
          <w:sz w:val="24"/>
          <w:szCs w:val="24"/>
          <w:lang w:val="en-IE"/>
        </w:rPr>
        <w:t xml:space="preserve"> shipping, if an initial number of vessels is needed to kick-start the use of the supported recharging/refuelling infrastructure. In such case, the eligible cost shall be limited to the difference of cost between a fossil-fuel vessel and the zero-emission vessels proposed.</w:t>
      </w:r>
    </w:p>
    <w:p w14:paraId="3D73C7F5" w14:textId="77777777" w:rsidR="00C76A64" w:rsidRPr="00224BBB" w:rsidRDefault="00C76A64" w:rsidP="00C76A64">
      <w:pPr>
        <w:ind w:left="360"/>
        <w:jc w:val="both"/>
        <w:rPr>
          <w:rFonts w:cstheme="minorHAnsi"/>
          <w:i/>
          <w:sz w:val="24"/>
          <w:szCs w:val="24"/>
          <w:lang w:val="en-IE"/>
        </w:rPr>
      </w:pPr>
      <w:r w:rsidRPr="00224BBB">
        <w:rPr>
          <w:rFonts w:cstheme="minorHAnsi"/>
          <w:i/>
          <w:sz w:val="24"/>
          <w:szCs w:val="24"/>
          <w:lang w:val="en-IE"/>
        </w:rPr>
        <w:t>Costs related to the production of green hydrogen for the purpose of transport will be eligible as synergetic elements under the conditions specified in Section 10.5.</w:t>
      </w:r>
    </w:p>
    <w:p w14:paraId="1DCACB23" w14:textId="77777777" w:rsidR="00C76A64" w:rsidRPr="00224BBB" w:rsidRDefault="00C76A64" w:rsidP="00C76A64">
      <w:pPr>
        <w:ind w:left="360"/>
        <w:jc w:val="both"/>
        <w:rPr>
          <w:rFonts w:cstheme="minorHAnsi"/>
          <w:i/>
          <w:sz w:val="24"/>
          <w:szCs w:val="24"/>
          <w:lang w:val="en-IE"/>
        </w:rPr>
      </w:pPr>
      <w:r w:rsidRPr="00224BBB">
        <w:rPr>
          <w:rFonts w:cstheme="minorHAnsi"/>
          <w:i/>
          <w:sz w:val="24"/>
          <w:szCs w:val="24"/>
          <w:lang w:val="en-IE"/>
        </w:rPr>
        <w:t xml:space="preserve">These actions shall be supported through an Alternative Fuel Infrastructure Facility, based on the combination of grants with other sources of funding pursuant to Article 16 of the CEF Regulation and Blending Operations with </w:t>
      </w:r>
      <w:proofErr w:type="spellStart"/>
      <w:r w:rsidRPr="00224BBB">
        <w:rPr>
          <w:rFonts w:cstheme="minorHAnsi"/>
          <w:i/>
          <w:sz w:val="24"/>
          <w:szCs w:val="24"/>
          <w:lang w:val="en-IE"/>
        </w:rPr>
        <w:t>InvestEU</w:t>
      </w:r>
      <w:proofErr w:type="spellEnd"/>
      <w:r w:rsidRPr="00224BBB">
        <w:rPr>
          <w:rFonts w:cstheme="minorHAnsi"/>
          <w:i/>
          <w:sz w:val="24"/>
          <w:szCs w:val="24"/>
          <w:lang w:val="en-IE"/>
        </w:rPr>
        <w:t xml:space="preserve"> pursuant to Article 6 of the CEF Regulation.</w:t>
      </w:r>
    </w:p>
    <w:p w14:paraId="07DFBBFC" w14:textId="77777777" w:rsidR="00224BBB" w:rsidRPr="00224BBB" w:rsidRDefault="00224BBB" w:rsidP="00C76A64">
      <w:pPr>
        <w:ind w:left="360"/>
        <w:jc w:val="both"/>
        <w:rPr>
          <w:rFonts w:cstheme="minorHAnsi"/>
          <w:i/>
          <w:sz w:val="24"/>
          <w:szCs w:val="24"/>
          <w:lang w:val="en-IE"/>
        </w:rPr>
      </w:pPr>
    </w:p>
    <w:p w14:paraId="2D3B63DA" w14:textId="77777777" w:rsidR="00C76A64" w:rsidRPr="00224BBB" w:rsidRDefault="00C76A64" w:rsidP="00C76A64">
      <w:pPr>
        <w:ind w:left="360"/>
        <w:jc w:val="both"/>
        <w:rPr>
          <w:rFonts w:cstheme="minorHAnsi"/>
          <w:i/>
          <w:sz w:val="24"/>
          <w:szCs w:val="24"/>
          <w:lang w:val="en-IE"/>
        </w:rPr>
      </w:pPr>
      <w:r w:rsidRPr="00224BBB">
        <w:rPr>
          <w:rFonts w:cstheme="minorHAnsi"/>
          <w:i/>
          <w:sz w:val="24"/>
          <w:szCs w:val="24"/>
          <w:lang w:val="en-IE"/>
        </w:rPr>
        <w:t>The call text shall further specify:</w:t>
      </w:r>
    </w:p>
    <w:p w14:paraId="5A72699A" w14:textId="77777777" w:rsidR="00C76A64" w:rsidRPr="00224BBB" w:rsidRDefault="00C76A64" w:rsidP="00C76A64">
      <w:pPr>
        <w:pStyle w:val="Odstavecseseznamem"/>
        <w:numPr>
          <w:ilvl w:val="0"/>
          <w:numId w:val="12"/>
        </w:numPr>
        <w:spacing w:after="160" w:line="256" w:lineRule="auto"/>
        <w:jc w:val="both"/>
        <w:rPr>
          <w:rFonts w:cstheme="minorHAnsi"/>
          <w:bCs/>
          <w:i/>
          <w:sz w:val="24"/>
          <w:szCs w:val="24"/>
          <w:lang w:val="en-IE"/>
        </w:rPr>
      </w:pPr>
      <w:r w:rsidRPr="00224BBB">
        <w:rPr>
          <w:rFonts w:cstheme="minorHAnsi"/>
          <w:bCs/>
          <w:i/>
          <w:sz w:val="24"/>
          <w:szCs w:val="24"/>
          <w:lang w:val="en-IE"/>
        </w:rPr>
        <w:t>The use of simplified forms of grants where applicable and the amounts of unit contributions applicable;</w:t>
      </w:r>
    </w:p>
    <w:p w14:paraId="724A16C1" w14:textId="77777777" w:rsidR="00C76A64" w:rsidRPr="00224BBB" w:rsidRDefault="00C76A64" w:rsidP="00C76A64">
      <w:pPr>
        <w:pStyle w:val="Odstavecseseznamem"/>
        <w:numPr>
          <w:ilvl w:val="0"/>
          <w:numId w:val="12"/>
        </w:numPr>
        <w:spacing w:after="160" w:line="256" w:lineRule="auto"/>
        <w:jc w:val="both"/>
        <w:rPr>
          <w:rFonts w:cstheme="minorHAnsi"/>
          <w:bCs/>
          <w:i/>
          <w:sz w:val="24"/>
          <w:szCs w:val="24"/>
          <w:lang w:val="en-IE"/>
        </w:rPr>
      </w:pPr>
      <w:r w:rsidRPr="00224BBB">
        <w:rPr>
          <w:rFonts w:cstheme="minorHAnsi"/>
          <w:bCs/>
          <w:i/>
          <w:sz w:val="24"/>
          <w:szCs w:val="24"/>
          <w:lang w:val="en-IE"/>
        </w:rPr>
        <w:t>The eligible locations in relation with the TEN-T and the deployment needs.</w:t>
      </w:r>
    </w:p>
    <w:p w14:paraId="1F57D3D7" w14:textId="77777777" w:rsidR="00C76A64" w:rsidRPr="00224BBB" w:rsidRDefault="00C76A64" w:rsidP="00C76A64">
      <w:pPr>
        <w:pStyle w:val="Odstavecseseznamem"/>
        <w:numPr>
          <w:ilvl w:val="0"/>
          <w:numId w:val="12"/>
        </w:numPr>
        <w:spacing w:after="160" w:line="256" w:lineRule="auto"/>
        <w:jc w:val="both"/>
        <w:rPr>
          <w:rFonts w:cstheme="minorHAnsi"/>
          <w:bCs/>
          <w:i/>
          <w:sz w:val="24"/>
          <w:szCs w:val="24"/>
          <w:lang w:val="en-IE"/>
        </w:rPr>
      </w:pPr>
      <w:r w:rsidRPr="00224BBB">
        <w:rPr>
          <w:rFonts w:cstheme="minorHAnsi"/>
          <w:bCs/>
          <w:i/>
          <w:sz w:val="24"/>
          <w:szCs w:val="24"/>
          <w:lang w:val="en-IE"/>
        </w:rPr>
        <w:t>The calendar of cut-off dates for the submission of applications.</w:t>
      </w:r>
    </w:p>
    <w:p w14:paraId="07669DF9" w14:textId="77777777" w:rsidR="00224BBB" w:rsidRDefault="00224BBB" w:rsidP="00C76A64">
      <w:pPr>
        <w:ind w:left="360"/>
        <w:jc w:val="both"/>
        <w:rPr>
          <w:rFonts w:cstheme="minorHAnsi"/>
          <w:b/>
          <w:bCs/>
          <w:sz w:val="24"/>
          <w:szCs w:val="24"/>
          <w:lang w:val="en-IE"/>
        </w:rPr>
      </w:pPr>
    </w:p>
    <w:p w14:paraId="06C71C26" w14:textId="77777777" w:rsidR="00224BBB" w:rsidRDefault="00224BBB" w:rsidP="00C76A64">
      <w:pPr>
        <w:ind w:left="360"/>
        <w:jc w:val="both"/>
        <w:rPr>
          <w:rFonts w:cstheme="minorHAnsi"/>
          <w:b/>
          <w:bCs/>
          <w:sz w:val="24"/>
          <w:szCs w:val="24"/>
          <w:lang w:val="en-IE"/>
        </w:rPr>
      </w:pPr>
      <w:r w:rsidRPr="00D760A3">
        <w:rPr>
          <w:rFonts w:cstheme="minorHAnsi"/>
          <w:b/>
          <w:bCs/>
          <w:sz w:val="24"/>
          <w:szCs w:val="24"/>
        </w:rPr>
        <w:t>Mořské dálnice</w:t>
      </w:r>
      <w:r>
        <w:rPr>
          <w:rFonts w:cstheme="minorHAnsi"/>
          <w:b/>
          <w:bCs/>
          <w:sz w:val="24"/>
          <w:szCs w:val="24"/>
          <w:lang w:val="en-IE"/>
        </w:rPr>
        <w:t xml:space="preserve"> (</w:t>
      </w:r>
      <w:r w:rsidR="00C76A64" w:rsidRPr="008A41F1">
        <w:rPr>
          <w:rFonts w:cstheme="minorHAnsi"/>
          <w:b/>
          <w:bCs/>
          <w:sz w:val="24"/>
          <w:szCs w:val="24"/>
          <w:lang w:val="en-IE"/>
        </w:rPr>
        <w:t>Motorways of the Seas</w:t>
      </w:r>
      <w:r>
        <w:rPr>
          <w:rFonts w:cstheme="minorHAnsi"/>
          <w:b/>
          <w:bCs/>
          <w:sz w:val="24"/>
          <w:szCs w:val="24"/>
          <w:lang w:val="en-IE"/>
        </w:rPr>
        <w:t>)</w:t>
      </w:r>
    </w:p>
    <w:p w14:paraId="1F8F843F" w14:textId="77777777" w:rsidR="00224BBB" w:rsidRPr="00D760A3" w:rsidRDefault="00224BBB" w:rsidP="00C76A64">
      <w:pPr>
        <w:ind w:left="360"/>
        <w:jc w:val="both"/>
        <w:rPr>
          <w:rFonts w:cstheme="minorHAnsi"/>
          <w:bCs/>
          <w:sz w:val="24"/>
          <w:szCs w:val="24"/>
        </w:rPr>
      </w:pPr>
      <w:r w:rsidRPr="00D760A3">
        <w:rPr>
          <w:rFonts w:cstheme="minorHAnsi"/>
          <w:bCs/>
          <w:sz w:val="24"/>
          <w:szCs w:val="24"/>
        </w:rPr>
        <w:t>Pro ČR irelevantní.</w:t>
      </w:r>
    </w:p>
    <w:p w14:paraId="5FD11F54" w14:textId="77777777" w:rsidR="00224BBB" w:rsidRDefault="00224BBB" w:rsidP="00C76A64">
      <w:pPr>
        <w:ind w:left="360"/>
        <w:jc w:val="both"/>
        <w:rPr>
          <w:rFonts w:cstheme="minorHAnsi"/>
          <w:b/>
          <w:bCs/>
          <w:sz w:val="24"/>
          <w:szCs w:val="24"/>
          <w:lang w:val="en-IE"/>
        </w:rPr>
      </w:pPr>
    </w:p>
    <w:p w14:paraId="74ABCD6D" w14:textId="77777777" w:rsidR="00C76A64" w:rsidRPr="008A41F1" w:rsidRDefault="00224BBB" w:rsidP="00C76A64">
      <w:pPr>
        <w:ind w:left="360"/>
        <w:jc w:val="both"/>
        <w:rPr>
          <w:rFonts w:cstheme="minorHAnsi"/>
          <w:b/>
          <w:bCs/>
          <w:sz w:val="24"/>
          <w:szCs w:val="24"/>
          <w:lang w:val="en-IE"/>
        </w:rPr>
      </w:pPr>
      <w:r w:rsidRPr="00455F84">
        <w:rPr>
          <w:rFonts w:cstheme="minorHAnsi"/>
          <w:b/>
          <w:bCs/>
          <w:sz w:val="24"/>
          <w:szCs w:val="24"/>
        </w:rPr>
        <w:t>Přestupní uzly pro cestující</w:t>
      </w:r>
      <w:r>
        <w:rPr>
          <w:rFonts w:cstheme="minorHAnsi"/>
          <w:b/>
          <w:bCs/>
          <w:sz w:val="24"/>
          <w:szCs w:val="24"/>
          <w:lang w:val="en-IE"/>
        </w:rPr>
        <w:t xml:space="preserve"> </w:t>
      </w:r>
      <w:r w:rsidRPr="00224BBB">
        <w:rPr>
          <w:rFonts w:cstheme="minorHAnsi"/>
          <w:bCs/>
          <w:i/>
          <w:sz w:val="24"/>
          <w:szCs w:val="24"/>
          <w:lang w:val="en-IE"/>
        </w:rPr>
        <w:t>(</w:t>
      </w:r>
      <w:r w:rsidR="00C76A64" w:rsidRPr="00224BBB">
        <w:rPr>
          <w:rFonts w:cstheme="minorHAnsi"/>
          <w:bCs/>
          <w:i/>
          <w:sz w:val="24"/>
          <w:szCs w:val="24"/>
          <w:lang w:val="en-IE"/>
        </w:rPr>
        <w:t>Multimodal passenger hubs</w:t>
      </w:r>
      <w:r w:rsidRPr="00224BBB">
        <w:rPr>
          <w:rFonts w:cstheme="minorHAnsi"/>
          <w:bCs/>
          <w:i/>
          <w:sz w:val="24"/>
          <w:szCs w:val="24"/>
          <w:lang w:val="en-IE"/>
        </w:rPr>
        <w:t>)</w:t>
      </w:r>
    </w:p>
    <w:p w14:paraId="7DF4CEB9" w14:textId="77777777" w:rsidR="00C76A64" w:rsidRPr="00D760A3" w:rsidRDefault="00224BBB" w:rsidP="00C76A64">
      <w:pPr>
        <w:ind w:left="360"/>
        <w:jc w:val="both"/>
        <w:rPr>
          <w:rFonts w:cstheme="minorHAnsi"/>
          <w:bCs/>
          <w:sz w:val="24"/>
          <w:szCs w:val="24"/>
        </w:rPr>
      </w:pPr>
      <w:r w:rsidRPr="00D760A3">
        <w:rPr>
          <w:rFonts w:cstheme="minorHAnsi"/>
          <w:bCs/>
          <w:sz w:val="24"/>
          <w:szCs w:val="24"/>
        </w:rPr>
        <w:t>Podmínky podpory:</w:t>
      </w:r>
    </w:p>
    <w:p w14:paraId="33AB806D" w14:textId="77777777" w:rsidR="00224BBB" w:rsidRPr="00D760A3" w:rsidRDefault="00224BBB" w:rsidP="00224BBB">
      <w:pPr>
        <w:pStyle w:val="Odstavecseseznamem"/>
        <w:numPr>
          <w:ilvl w:val="0"/>
          <w:numId w:val="3"/>
        </w:numPr>
        <w:jc w:val="both"/>
        <w:rPr>
          <w:rFonts w:cstheme="minorHAnsi"/>
          <w:bCs/>
          <w:sz w:val="24"/>
          <w:szCs w:val="24"/>
        </w:rPr>
      </w:pPr>
      <w:r w:rsidRPr="00D760A3">
        <w:rPr>
          <w:rFonts w:cstheme="minorHAnsi"/>
          <w:bCs/>
          <w:sz w:val="24"/>
          <w:szCs w:val="24"/>
        </w:rPr>
        <w:t>umístění v městském uzlu hlavní sítě podle nařízení k TEN-T (Praha, Ostrava)</w:t>
      </w:r>
    </w:p>
    <w:p w14:paraId="556A9AC1" w14:textId="77777777" w:rsidR="00224BBB" w:rsidRPr="00D760A3" w:rsidRDefault="00224BBB" w:rsidP="00224BBB">
      <w:pPr>
        <w:pStyle w:val="Odstavecseseznamem"/>
        <w:numPr>
          <w:ilvl w:val="0"/>
          <w:numId w:val="3"/>
        </w:numPr>
        <w:jc w:val="both"/>
        <w:rPr>
          <w:rFonts w:cstheme="minorHAnsi"/>
          <w:bCs/>
          <w:sz w:val="24"/>
          <w:szCs w:val="24"/>
        </w:rPr>
      </w:pPr>
      <w:r w:rsidRPr="00D760A3">
        <w:rPr>
          <w:rFonts w:cstheme="minorHAnsi"/>
          <w:bCs/>
          <w:sz w:val="24"/>
          <w:szCs w:val="24"/>
        </w:rPr>
        <w:t>součástí Plánu udržitelné městské mobility nebo obdobného dokumentu</w:t>
      </w:r>
    </w:p>
    <w:p w14:paraId="75BFD10D" w14:textId="77777777" w:rsidR="00224BBB" w:rsidRPr="00D760A3" w:rsidRDefault="00224BBB" w:rsidP="00224BBB">
      <w:pPr>
        <w:pStyle w:val="Odstavecseseznamem"/>
        <w:numPr>
          <w:ilvl w:val="0"/>
          <w:numId w:val="3"/>
        </w:numPr>
        <w:jc w:val="both"/>
        <w:rPr>
          <w:rFonts w:cstheme="minorHAnsi"/>
          <w:bCs/>
          <w:sz w:val="24"/>
          <w:szCs w:val="24"/>
        </w:rPr>
      </w:pPr>
      <w:r w:rsidRPr="00D760A3">
        <w:rPr>
          <w:rFonts w:cstheme="minorHAnsi"/>
          <w:bCs/>
          <w:sz w:val="24"/>
          <w:szCs w:val="24"/>
        </w:rPr>
        <w:t>projekt umožní spojení s dálkovou dopravou</w:t>
      </w:r>
    </w:p>
    <w:p w14:paraId="5AC3D1FD" w14:textId="77777777" w:rsidR="00224BBB" w:rsidRPr="00D760A3" w:rsidRDefault="00224BBB" w:rsidP="00224BBB">
      <w:pPr>
        <w:pStyle w:val="Odstavecseseznamem"/>
        <w:numPr>
          <w:ilvl w:val="0"/>
          <w:numId w:val="3"/>
        </w:numPr>
        <w:jc w:val="both"/>
        <w:rPr>
          <w:rFonts w:cstheme="minorHAnsi"/>
          <w:bCs/>
          <w:sz w:val="24"/>
          <w:szCs w:val="24"/>
        </w:rPr>
      </w:pPr>
      <w:r w:rsidRPr="00D760A3">
        <w:rPr>
          <w:rFonts w:cstheme="minorHAnsi"/>
          <w:bCs/>
          <w:sz w:val="24"/>
          <w:szCs w:val="24"/>
        </w:rPr>
        <w:t>může zahrnovat bezpečné propojení na cyklistickou infrastrukturu nebo infrastrukturu sdílené mobility</w:t>
      </w:r>
    </w:p>
    <w:p w14:paraId="255BB0E7" w14:textId="77777777" w:rsidR="00224BBB" w:rsidRPr="008A41F1" w:rsidRDefault="00224BBB" w:rsidP="00C76A64">
      <w:pPr>
        <w:ind w:left="360"/>
        <w:jc w:val="both"/>
        <w:rPr>
          <w:rFonts w:cstheme="minorHAnsi"/>
          <w:b/>
          <w:bCs/>
          <w:sz w:val="24"/>
          <w:szCs w:val="24"/>
          <w:lang w:val="en-IE"/>
        </w:rPr>
      </w:pPr>
    </w:p>
    <w:p w14:paraId="499E472A" w14:textId="77777777" w:rsidR="00C76A64" w:rsidRPr="00D760A3" w:rsidRDefault="00C76A64" w:rsidP="00C76A64">
      <w:pPr>
        <w:ind w:left="360"/>
        <w:jc w:val="both"/>
        <w:rPr>
          <w:rFonts w:cstheme="minorHAnsi"/>
          <w:i/>
          <w:sz w:val="24"/>
          <w:szCs w:val="24"/>
          <w:lang w:val="en-IE"/>
        </w:rPr>
      </w:pPr>
      <w:r w:rsidRPr="00D760A3">
        <w:rPr>
          <w:rFonts w:cstheme="minorHAnsi"/>
          <w:i/>
          <w:sz w:val="24"/>
          <w:szCs w:val="24"/>
          <w:lang w:val="en-IE"/>
        </w:rPr>
        <w:t>In accordance with Article 9(2</w:t>
      </w:r>
      <w:proofErr w:type="gramStart"/>
      <w:r w:rsidRPr="00D760A3">
        <w:rPr>
          <w:rFonts w:cstheme="minorHAnsi"/>
          <w:i/>
          <w:sz w:val="24"/>
          <w:szCs w:val="24"/>
          <w:lang w:val="en-IE"/>
        </w:rPr>
        <w:t>)(</w:t>
      </w:r>
      <w:proofErr w:type="gramEnd"/>
      <w:r w:rsidRPr="00D760A3">
        <w:rPr>
          <w:rFonts w:cstheme="minorHAnsi"/>
          <w:i/>
          <w:sz w:val="24"/>
          <w:szCs w:val="24"/>
          <w:lang w:val="en-IE"/>
        </w:rPr>
        <w:t>b)(vi) of the CEF Regulation, Actions aiming at seamless connections between modes will be supported.</w:t>
      </w:r>
    </w:p>
    <w:p w14:paraId="581CE767" w14:textId="77777777" w:rsidR="00C76A64" w:rsidRPr="00D760A3" w:rsidRDefault="00C76A64" w:rsidP="00C76A64">
      <w:pPr>
        <w:ind w:left="360"/>
        <w:jc w:val="both"/>
        <w:rPr>
          <w:rFonts w:cstheme="minorHAnsi"/>
          <w:i/>
          <w:sz w:val="24"/>
          <w:szCs w:val="24"/>
          <w:lang w:val="en-IE"/>
        </w:rPr>
      </w:pPr>
      <w:r w:rsidRPr="00D760A3">
        <w:rPr>
          <w:rFonts w:cstheme="minorHAnsi"/>
          <w:i/>
          <w:sz w:val="24"/>
          <w:szCs w:val="24"/>
          <w:lang w:val="en-IE"/>
        </w:rPr>
        <w:t>The supported Actions:</w:t>
      </w:r>
    </w:p>
    <w:p w14:paraId="67E64FC1" w14:textId="77777777" w:rsidR="00C76A64" w:rsidRPr="00D760A3" w:rsidRDefault="00C76A64" w:rsidP="00C76A64">
      <w:pPr>
        <w:pStyle w:val="Odstavecseseznamem"/>
        <w:numPr>
          <w:ilvl w:val="0"/>
          <w:numId w:val="12"/>
        </w:numPr>
        <w:spacing w:after="160" w:line="256" w:lineRule="auto"/>
        <w:jc w:val="both"/>
        <w:rPr>
          <w:rFonts w:cstheme="minorHAnsi"/>
          <w:bCs/>
          <w:i/>
          <w:sz w:val="24"/>
          <w:szCs w:val="24"/>
          <w:lang w:val="en-IE"/>
        </w:rPr>
      </w:pPr>
      <w:r w:rsidRPr="00D760A3">
        <w:rPr>
          <w:rFonts w:cstheme="minorHAnsi"/>
          <w:bCs/>
          <w:i/>
          <w:sz w:val="24"/>
          <w:szCs w:val="24"/>
          <w:lang w:val="en-IE"/>
        </w:rPr>
        <w:t xml:space="preserve">shall be located in an urban node of the Core Network in line with the </w:t>
      </w:r>
      <w:r w:rsidRPr="00D760A3">
        <w:rPr>
          <w:rFonts w:cstheme="minorHAnsi"/>
          <w:i/>
          <w:sz w:val="24"/>
          <w:szCs w:val="24"/>
          <w:lang w:val="en-IE"/>
        </w:rPr>
        <w:t>Regulation (EU) No 1315/2013</w:t>
      </w:r>
      <w:r w:rsidRPr="00D760A3">
        <w:rPr>
          <w:rFonts w:cstheme="minorHAnsi"/>
          <w:bCs/>
          <w:i/>
          <w:sz w:val="24"/>
          <w:szCs w:val="24"/>
          <w:lang w:val="en-IE"/>
        </w:rPr>
        <w:t>;</w:t>
      </w:r>
    </w:p>
    <w:p w14:paraId="098E8A31" w14:textId="77777777" w:rsidR="00C76A64" w:rsidRPr="00D760A3" w:rsidRDefault="00C76A64" w:rsidP="00C76A64">
      <w:pPr>
        <w:pStyle w:val="Odstavecseseznamem"/>
        <w:numPr>
          <w:ilvl w:val="0"/>
          <w:numId w:val="12"/>
        </w:numPr>
        <w:spacing w:after="160" w:line="256" w:lineRule="auto"/>
        <w:jc w:val="both"/>
        <w:rPr>
          <w:rFonts w:cstheme="minorHAnsi"/>
          <w:bCs/>
          <w:i/>
          <w:sz w:val="24"/>
          <w:szCs w:val="24"/>
          <w:lang w:val="en-IE"/>
        </w:rPr>
      </w:pPr>
      <w:r w:rsidRPr="00D760A3">
        <w:rPr>
          <w:rFonts w:cstheme="minorHAnsi"/>
          <w:bCs/>
          <w:i/>
          <w:sz w:val="24"/>
          <w:szCs w:val="24"/>
          <w:lang w:val="en-IE"/>
        </w:rPr>
        <w:t>shall be part of a Sustainable Urban Mobility Plan established in accordance with the 2019 Guidelines for Developing and Implementing a Sustainable Urban Mobility Plan or of an equivalent plan;</w:t>
      </w:r>
    </w:p>
    <w:p w14:paraId="3C581C91" w14:textId="77777777" w:rsidR="00C76A64" w:rsidRPr="00D760A3" w:rsidRDefault="00C76A64" w:rsidP="00C76A64">
      <w:pPr>
        <w:pStyle w:val="Odstavecseseznamem"/>
        <w:numPr>
          <w:ilvl w:val="0"/>
          <w:numId w:val="12"/>
        </w:numPr>
        <w:spacing w:after="160" w:line="256" w:lineRule="auto"/>
        <w:jc w:val="both"/>
        <w:rPr>
          <w:rFonts w:cstheme="minorHAnsi"/>
          <w:bCs/>
          <w:i/>
          <w:sz w:val="24"/>
          <w:szCs w:val="24"/>
          <w:lang w:val="en-IE"/>
        </w:rPr>
      </w:pPr>
      <w:r w:rsidRPr="00D760A3">
        <w:rPr>
          <w:rFonts w:cstheme="minorHAnsi"/>
          <w:bCs/>
          <w:i/>
          <w:sz w:val="24"/>
          <w:szCs w:val="24"/>
          <w:lang w:val="en-IE"/>
        </w:rPr>
        <w:t>shall improve accessibility for all users, especially for passengers with reduced mobility;</w:t>
      </w:r>
    </w:p>
    <w:p w14:paraId="1B4CCB4F" w14:textId="77777777" w:rsidR="00C76A64" w:rsidRPr="00D760A3" w:rsidRDefault="00C76A64" w:rsidP="00C76A64">
      <w:pPr>
        <w:pStyle w:val="Odstavecseseznamem"/>
        <w:numPr>
          <w:ilvl w:val="0"/>
          <w:numId w:val="12"/>
        </w:numPr>
        <w:spacing w:after="160" w:line="256" w:lineRule="auto"/>
        <w:jc w:val="both"/>
        <w:rPr>
          <w:rFonts w:cstheme="minorHAnsi"/>
          <w:bCs/>
          <w:i/>
          <w:sz w:val="24"/>
          <w:szCs w:val="24"/>
          <w:lang w:val="en-IE"/>
        </w:rPr>
      </w:pPr>
      <w:r w:rsidRPr="00D760A3">
        <w:rPr>
          <w:rFonts w:cstheme="minorHAnsi"/>
          <w:bCs/>
          <w:i/>
          <w:sz w:val="24"/>
          <w:szCs w:val="24"/>
          <w:lang w:val="en-IE"/>
        </w:rPr>
        <w:t>shall allow for the connection with available long-distance transport modes;</w:t>
      </w:r>
    </w:p>
    <w:p w14:paraId="6C204700" w14:textId="77777777" w:rsidR="00C76A64" w:rsidRPr="00D760A3" w:rsidRDefault="00C76A64" w:rsidP="00C76A64">
      <w:pPr>
        <w:pStyle w:val="Odstavecseseznamem"/>
        <w:numPr>
          <w:ilvl w:val="0"/>
          <w:numId w:val="12"/>
        </w:numPr>
        <w:spacing w:after="160" w:line="256" w:lineRule="auto"/>
        <w:jc w:val="both"/>
        <w:rPr>
          <w:rFonts w:cstheme="minorHAnsi"/>
          <w:i/>
          <w:sz w:val="24"/>
          <w:szCs w:val="24"/>
          <w:lang w:val="en-IE"/>
        </w:rPr>
      </w:pPr>
      <w:proofErr w:type="gramStart"/>
      <w:r w:rsidRPr="00D760A3">
        <w:rPr>
          <w:rFonts w:cstheme="minorHAnsi"/>
          <w:bCs/>
          <w:i/>
          <w:sz w:val="24"/>
          <w:szCs w:val="24"/>
          <w:lang w:val="en-IE"/>
        </w:rPr>
        <w:t>may</w:t>
      </w:r>
      <w:proofErr w:type="gramEnd"/>
      <w:r w:rsidRPr="00D760A3">
        <w:rPr>
          <w:rFonts w:cstheme="minorHAnsi"/>
          <w:bCs/>
          <w:i/>
          <w:sz w:val="24"/>
          <w:szCs w:val="24"/>
          <w:lang w:val="en-IE"/>
        </w:rPr>
        <w:t xml:space="preserve"> include safe connection with cycle infrastructure, allow safe connections with shared mobility solutions.</w:t>
      </w:r>
    </w:p>
    <w:p w14:paraId="2D50B8C5" w14:textId="77777777" w:rsidR="00C76A64" w:rsidRPr="008A41F1" w:rsidRDefault="00224BBB" w:rsidP="00C76A64">
      <w:pPr>
        <w:ind w:left="360"/>
        <w:jc w:val="both"/>
        <w:rPr>
          <w:rFonts w:cstheme="minorHAnsi"/>
          <w:b/>
          <w:bCs/>
          <w:sz w:val="24"/>
          <w:szCs w:val="24"/>
          <w:lang w:val="en-IE"/>
        </w:rPr>
      </w:pPr>
      <w:r w:rsidRPr="00D760A3">
        <w:rPr>
          <w:rFonts w:cstheme="minorHAnsi"/>
          <w:b/>
          <w:bCs/>
          <w:sz w:val="24"/>
          <w:szCs w:val="24"/>
        </w:rPr>
        <w:t>Snižování hluku z železniční nákladní dopravy</w:t>
      </w:r>
      <w:r>
        <w:rPr>
          <w:rFonts w:cstheme="minorHAnsi"/>
          <w:b/>
          <w:bCs/>
          <w:sz w:val="24"/>
          <w:szCs w:val="24"/>
          <w:lang w:val="en-IE"/>
        </w:rPr>
        <w:t xml:space="preserve"> </w:t>
      </w:r>
      <w:r w:rsidRPr="00D760A3">
        <w:rPr>
          <w:rFonts w:cstheme="minorHAnsi"/>
          <w:bCs/>
          <w:i/>
          <w:sz w:val="24"/>
          <w:szCs w:val="24"/>
          <w:lang w:val="en-IE"/>
        </w:rPr>
        <w:t>(</w:t>
      </w:r>
      <w:r w:rsidR="00C76A64" w:rsidRPr="00D760A3">
        <w:rPr>
          <w:rFonts w:cstheme="minorHAnsi"/>
          <w:bCs/>
          <w:i/>
          <w:sz w:val="24"/>
          <w:szCs w:val="24"/>
          <w:lang w:val="en-IE"/>
        </w:rPr>
        <w:t>Reduction of rail freight noise</w:t>
      </w:r>
      <w:r w:rsidRPr="00D760A3">
        <w:rPr>
          <w:rFonts w:cstheme="minorHAnsi"/>
          <w:bCs/>
          <w:i/>
          <w:sz w:val="24"/>
          <w:szCs w:val="24"/>
          <w:lang w:val="en-IE"/>
        </w:rPr>
        <w:t>)</w:t>
      </w:r>
    </w:p>
    <w:p w14:paraId="0CCD3B74" w14:textId="69F88A0C" w:rsidR="00C76A64" w:rsidRPr="00D760A3" w:rsidRDefault="00224BBB" w:rsidP="00C76A64">
      <w:pPr>
        <w:ind w:left="360"/>
        <w:jc w:val="both"/>
        <w:rPr>
          <w:rFonts w:cstheme="minorHAnsi"/>
          <w:bCs/>
          <w:sz w:val="24"/>
          <w:szCs w:val="24"/>
        </w:rPr>
      </w:pPr>
      <w:r w:rsidRPr="00D760A3">
        <w:rPr>
          <w:rFonts w:cstheme="minorHAnsi"/>
          <w:bCs/>
          <w:sz w:val="24"/>
          <w:szCs w:val="24"/>
        </w:rPr>
        <w:t>Podporované a</w:t>
      </w:r>
      <w:r w:rsidR="00D760A3" w:rsidRPr="00D760A3">
        <w:rPr>
          <w:rFonts w:cstheme="minorHAnsi"/>
          <w:bCs/>
          <w:sz w:val="24"/>
          <w:szCs w:val="24"/>
        </w:rPr>
        <w:t>k</w:t>
      </w:r>
      <w:r w:rsidRPr="00D760A3">
        <w:rPr>
          <w:rFonts w:cstheme="minorHAnsi"/>
          <w:bCs/>
          <w:sz w:val="24"/>
          <w:szCs w:val="24"/>
        </w:rPr>
        <w:t>tivity</w:t>
      </w:r>
      <w:r w:rsidR="00D760A3">
        <w:rPr>
          <w:rFonts w:cstheme="minorHAnsi"/>
          <w:bCs/>
          <w:sz w:val="24"/>
          <w:szCs w:val="24"/>
        </w:rPr>
        <w:t>:</w:t>
      </w:r>
    </w:p>
    <w:p w14:paraId="386E9B78" w14:textId="77777777" w:rsidR="00224BBB" w:rsidRPr="00D760A3" w:rsidRDefault="00224BBB" w:rsidP="00224BBB">
      <w:pPr>
        <w:pStyle w:val="Odstavecseseznamem"/>
        <w:numPr>
          <w:ilvl w:val="0"/>
          <w:numId w:val="3"/>
        </w:numPr>
        <w:jc w:val="both"/>
        <w:rPr>
          <w:rFonts w:cstheme="minorHAnsi"/>
          <w:bCs/>
          <w:sz w:val="24"/>
          <w:szCs w:val="24"/>
        </w:rPr>
      </w:pPr>
      <w:r w:rsidRPr="00D760A3">
        <w:rPr>
          <w:rFonts w:cstheme="minorHAnsi"/>
          <w:bCs/>
          <w:sz w:val="24"/>
          <w:szCs w:val="24"/>
        </w:rPr>
        <w:t>výměna brzdových špalků</w:t>
      </w:r>
    </w:p>
    <w:p w14:paraId="064F2BA1" w14:textId="664943E1" w:rsidR="00224BBB" w:rsidRDefault="00D760A3" w:rsidP="00224BBB">
      <w:pPr>
        <w:ind w:left="360"/>
        <w:jc w:val="both"/>
        <w:rPr>
          <w:rFonts w:cstheme="minorHAnsi"/>
          <w:sz w:val="24"/>
          <w:szCs w:val="24"/>
        </w:rPr>
      </w:pPr>
      <w:r>
        <w:rPr>
          <w:rFonts w:cstheme="minorHAnsi"/>
          <w:bCs/>
          <w:sz w:val="24"/>
          <w:szCs w:val="24"/>
        </w:rPr>
        <w:t>V</w:t>
      </w:r>
      <w:r w:rsidR="00224BBB" w:rsidRPr="00D760A3">
        <w:rPr>
          <w:rFonts w:cstheme="minorHAnsi"/>
          <w:bCs/>
          <w:sz w:val="24"/>
          <w:szCs w:val="24"/>
        </w:rPr>
        <w:t xml:space="preserve">ýzva </w:t>
      </w:r>
      <w:r>
        <w:rPr>
          <w:rFonts w:cstheme="minorHAnsi"/>
          <w:bCs/>
          <w:sz w:val="24"/>
          <w:szCs w:val="24"/>
        </w:rPr>
        <w:t xml:space="preserve">pouze </w:t>
      </w:r>
      <w:r w:rsidR="00224BBB" w:rsidRPr="00D760A3">
        <w:rPr>
          <w:rFonts w:cstheme="minorHAnsi"/>
          <w:bCs/>
          <w:sz w:val="24"/>
          <w:szCs w:val="24"/>
        </w:rPr>
        <w:t xml:space="preserve">v roce 2022. </w:t>
      </w:r>
      <w:r w:rsidR="00A45EEC" w:rsidRPr="00D760A3">
        <w:rPr>
          <w:rFonts w:cstheme="minorHAnsi"/>
          <w:bCs/>
          <w:sz w:val="24"/>
          <w:szCs w:val="24"/>
        </w:rPr>
        <w:t xml:space="preserve">Oblast </w:t>
      </w:r>
      <w:r w:rsidR="00A45EEC" w:rsidRPr="00D760A3">
        <w:rPr>
          <w:rFonts w:cstheme="minorHAnsi"/>
          <w:sz w:val="24"/>
          <w:szCs w:val="24"/>
        </w:rPr>
        <w:t xml:space="preserve">bude podporována prostřednictvím jednotkových </w:t>
      </w:r>
      <w:r w:rsidR="00940E0A">
        <w:rPr>
          <w:rFonts w:cstheme="minorHAnsi"/>
          <w:sz w:val="24"/>
          <w:szCs w:val="24"/>
        </w:rPr>
        <w:t>příspěvků</w:t>
      </w:r>
      <w:r w:rsidR="007F40BF">
        <w:rPr>
          <w:rStyle w:val="Znakapoznpodarou"/>
          <w:rFonts w:cstheme="minorHAnsi"/>
          <w:sz w:val="24"/>
          <w:szCs w:val="24"/>
        </w:rPr>
        <w:footnoteReference w:id="2"/>
      </w:r>
      <w:r w:rsidR="00A45EEC" w:rsidRPr="00D760A3">
        <w:rPr>
          <w:rFonts w:cstheme="minorHAnsi"/>
          <w:sz w:val="24"/>
          <w:szCs w:val="24"/>
        </w:rPr>
        <w:t xml:space="preserve"> (pevné výše dotace na jednotku výstupu).</w:t>
      </w:r>
    </w:p>
    <w:p w14:paraId="26497B95" w14:textId="77777777" w:rsidR="00224BBB" w:rsidRPr="00224BBB" w:rsidRDefault="00224BBB" w:rsidP="00224BBB">
      <w:pPr>
        <w:ind w:left="360"/>
        <w:jc w:val="both"/>
        <w:rPr>
          <w:rFonts w:cstheme="minorHAnsi"/>
          <w:b/>
          <w:bCs/>
          <w:sz w:val="24"/>
          <w:szCs w:val="24"/>
          <w:lang w:val="en-IE"/>
        </w:rPr>
      </w:pPr>
    </w:p>
    <w:p w14:paraId="6C16D087" w14:textId="77777777" w:rsidR="00C76A64" w:rsidRPr="00D760A3" w:rsidRDefault="00C76A64" w:rsidP="00C76A64">
      <w:pPr>
        <w:ind w:left="360"/>
        <w:jc w:val="both"/>
        <w:rPr>
          <w:rFonts w:cstheme="minorHAnsi"/>
          <w:i/>
          <w:sz w:val="24"/>
          <w:szCs w:val="24"/>
          <w:lang w:val="en-IE"/>
        </w:rPr>
      </w:pPr>
      <w:r w:rsidRPr="00D760A3">
        <w:rPr>
          <w:rFonts w:cstheme="minorHAnsi"/>
          <w:i/>
          <w:sz w:val="24"/>
          <w:szCs w:val="24"/>
          <w:lang w:val="en-IE"/>
        </w:rPr>
        <w:t>The following Actions will be supported:</w:t>
      </w:r>
    </w:p>
    <w:p w14:paraId="424ABD3C" w14:textId="77777777" w:rsidR="00C76A64" w:rsidRPr="00D760A3" w:rsidRDefault="00C76A64" w:rsidP="00C76A64">
      <w:pPr>
        <w:pStyle w:val="Odstavecseseznamem"/>
        <w:numPr>
          <w:ilvl w:val="0"/>
          <w:numId w:val="12"/>
        </w:numPr>
        <w:spacing w:after="160" w:line="256" w:lineRule="auto"/>
        <w:jc w:val="both"/>
        <w:rPr>
          <w:rFonts w:cstheme="minorHAnsi"/>
          <w:bCs/>
          <w:i/>
          <w:sz w:val="24"/>
          <w:szCs w:val="24"/>
          <w:lang w:val="en-IE"/>
        </w:rPr>
      </w:pPr>
      <w:r w:rsidRPr="00D760A3">
        <w:rPr>
          <w:rFonts w:cstheme="minorHAnsi"/>
          <w:bCs/>
          <w:i/>
          <w:sz w:val="24"/>
          <w:szCs w:val="24"/>
          <w:lang w:val="en-IE"/>
        </w:rPr>
        <w:t>Actions to reduce rail freight noise in accordance with the Article 9(2</w:t>
      </w:r>
      <w:proofErr w:type="gramStart"/>
      <w:r w:rsidRPr="00D760A3">
        <w:rPr>
          <w:rFonts w:cstheme="minorHAnsi"/>
          <w:bCs/>
          <w:i/>
          <w:sz w:val="24"/>
          <w:szCs w:val="24"/>
          <w:lang w:val="en-IE"/>
        </w:rPr>
        <w:t>)(</w:t>
      </w:r>
      <w:proofErr w:type="gramEnd"/>
      <w:r w:rsidRPr="00D760A3">
        <w:rPr>
          <w:rFonts w:cstheme="minorHAnsi"/>
          <w:bCs/>
          <w:i/>
          <w:sz w:val="24"/>
          <w:szCs w:val="24"/>
          <w:lang w:val="en-IE"/>
        </w:rPr>
        <w:t>b)(iii) of the CEF Regulation. The supported Actions shall address works to retrofit existing freight wagons. Union financial assistance shall take the form of unit contributions as defined in the Commission Decision authorising the use of unit costs for the retrofitting of noisy wagons under the Connecting Europe Facility (CEF) - Transport.</w:t>
      </w:r>
    </w:p>
    <w:p w14:paraId="484A79BE" w14:textId="77777777" w:rsidR="00C76A64" w:rsidRPr="00D760A3" w:rsidRDefault="00C76A64" w:rsidP="00C76A64">
      <w:pPr>
        <w:ind w:left="360"/>
        <w:jc w:val="both"/>
        <w:rPr>
          <w:rFonts w:cstheme="minorHAnsi"/>
          <w:i/>
          <w:sz w:val="24"/>
          <w:szCs w:val="24"/>
          <w:lang w:val="en-IE"/>
        </w:rPr>
      </w:pPr>
      <w:r w:rsidRPr="00D760A3">
        <w:rPr>
          <w:rFonts w:cstheme="minorHAnsi"/>
          <w:i/>
          <w:sz w:val="24"/>
          <w:szCs w:val="24"/>
          <w:lang w:val="en-IE"/>
        </w:rPr>
        <w:t>These Actions will only be supported through the 2022 call for proposals.</w:t>
      </w:r>
    </w:p>
    <w:p w14:paraId="6C2D4AC8" w14:textId="77777777" w:rsidR="00C76A64" w:rsidRPr="008A41F1" w:rsidRDefault="00C76A64" w:rsidP="00C76A64">
      <w:pPr>
        <w:autoSpaceDE w:val="0"/>
        <w:autoSpaceDN w:val="0"/>
        <w:adjustRightInd w:val="0"/>
        <w:jc w:val="both"/>
        <w:rPr>
          <w:rFonts w:cstheme="minorHAnsi"/>
          <w:sz w:val="24"/>
          <w:szCs w:val="24"/>
          <w:lang w:val="en-IE"/>
        </w:rPr>
      </w:pPr>
    </w:p>
    <w:p w14:paraId="209AD5EA" w14:textId="77777777" w:rsidR="00C76A64" w:rsidRPr="00A45EEC" w:rsidRDefault="00A45EEC" w:rsidP="00A45EEC">
      <w:pPr>
        <w:spacing w:after="160" w:line="256" w:lineRule="auto"/>
        <w:jc w:val="both"/>
        <w:rPr>
          <w:rFonts w:cstheme="minorHAnsi"/>
          <w:b/>
          <w:bCs/>
          <w:sz w:val="24"/>
          <w:szCs w:val="24"/>
          <w:lang w:val="en-IE"/>
        </w:rPr>
      </w:pPr>
      <w:r w:rsidRPr="007F40BF">
        <w:rPr>
          <w:rFonts w:cstheme="minorHAnsi"/>
          <w:b/>
          <w:bCs/>
          <w:sz w:val="24"/>
          <w:szCs w:val="24"/>
        </w:rPr>
        <w:t>2.3 Bezpečná a zabezpečená mobilita</w:t>
      </w:r>
      <w:r>
        <w:rPr>
          <w:rFonts w:cstheme="minorHAnsi"/>
          <w:b/>
          <w:bCs/>
          <w:sz w:val="24"/>
          <w:szCs w:val="24"/>
          <w:lang w:val="en-IE"/>
        </w:rPr>
        <w:t xml:space="preserve"> </w:t>
      </w:r>
      <w:r w:rsidRPr="00455F84">
        <w:rPr>
          <w:rFonts w:cstheme="minorHAnsi"/>
          <w:bCs/>
          <w:i/>
          <w:sz w:val="24"/>
          <w:szCs w:val="24"/>
          <w:lang w:val="en-IE"/>
        </w:rPr>
        <w:t>(</w:t>
      </w:r>
      <w:r w:rsidR="00C76A64" w:rsidRPr="00455F84">
        <w:rPr>
          <w:rFonts w:cstheme="minorHAnsi"/>
          <w:bCs/>
          <w:i/>
          <w:sz w:val="24"/>
          <w:szCs w:val="24"/>
          <w:lang w:val="en-IE"/>
        </w:rPr>
        <w:t>Actions related to safe and secure mobility</w:t>
      </w:r>
      <w:r w:rsidRPr="00455F84">
        <w:rPr>
          <w:rFonts w:cstheme="minorHAnsi"/>
          <w:bCs/>
          <w:i/>
          <w:sz w:val="24"/>
          <w:szCs w:val="24"/>
          <w:lang w:val="en-IE"/>
        </w:rPr>
        <w:t>)</w:t>
      </w:r>
    </w:p>
    <w:p w14:paraId="6F0D4434" w14:textId="77777777" w:rsidR="00C76A64" w:rsidRPr="008A41F1" w:rsidRDefault="00A45EEC" w:rsidP="00134E9D">
      <w:pPr>
        <w:jc w:val="both"/>
        <w:rPr>
          <w:rFonts w:cstheme="minorHAnsi"/>
          <w:b/>
          <w:bCs/>
          <w:sz w:val="24"/>
          <w:szCs w:val="24"/>
          <w:lang w:val="en-IE"/>
        </w:rPr>
      </w:pPr>
      <w:r w:rsidRPr="00134E9D">
        <w:rPr>
          <w:rFonts w:cstheme="minorHAnsi"/>
          <w:b/>
          <w:bCs/>
          <w:sz w:val="24"/>
          <w:szCs w:val="24"/>
        </w:rPr>
        <w:t>Bezpečné a zabezpečené parkování</w:t>
      </w:r>
      <w:r w:rsidRPr="00455F84">
        <w:rPr>
          <w:rFonts w:cstheme="minorHAnsi"/>
          <w:bCs/>
          <w:i/>
          <w:sz w:val="24"/>
          <w:szCs w:val="24"/>
          <w:lang w:val="en-IE"/>
        </w:rPr>
        <w:t xml:space="preserve"> (</w:t>
      </w:r>
      <w:r w:rsidR="00C76A64" w:rsidRPr="00455F84">
        <w:rPr>
          <w:rFonts w:cstheme="minorHAnsi"/>
          <w:bCs/>
          <w:i/>
          <w:sz w:val="24"/>
          <w:szCs w:val="24"/>
          <w:lang w:val="en-IE"/>
        </w:rPr>
        <w:t>Safe and secure parking infrastructure</w:t>
      </w:r>
      <w:r w:rsidRPr="00455F84">
        <w:rPr>
          <w:rFonts w:cstheme="minorHAnsi"/>
          <w:bCs/>
          <w:i/>
          <w:sz w:val="24"/>
          <w:szCs w:val="24"/>
          <w:lang w:val="en-IE"/>
        </w:rPr>
        <w:t>)</w:t>
      </w:r>
    </w:p>
    <w:p w14:paraId="6AFE62B1" w14:textId="1E462C31" w:rsidR="00A45EEC" w:rsidRPr="00455F84" w:rsidRDefault="00A45EEC" w:rsidP="00C76A64">
      <w:pPr>
        <w:ind w:left="360"/>
        <w:jc w:val="both"/>
        <w:rPr>
          <w:rFonts w:cstheme="minorHAnsi"/>
          <w:sz w:val="24"/>
          <w:szCs w:val="24"/>
        </w:rPr>
      </w:pPr>
      <w:r w:rsidRPr="00455F84">
        <w:rPr>
          <w:rFonts w:cstheme="minorHAnsi"/>
          <w:sz w:val="24"/>
          <w:szCs w:val="24"/>
        </w:rPr>
        <w:t>Podporované a</w:t>
      </w:r>
      <w:r w:rsidR="00455F84">
        <w:rPr>
          <w:rFonts w:cstheme="minorHAnsi"/>
          <w:sz w:val="24"/>
          <w:szCs w:val="24"/>
        </w:rPr>
        <w:t>k</w:t>
      </w:r>
      <w:r w:rsidRPr="00455F84">
        <w:rPr>
          <w:rFonts w:cstheme="minorHAnsi"/>
          <w:sz w:val="24"/>
          <w:szCs w:val="24"/>
        </w:rPr>
        <w:t>tivity:</w:t>
      </w:r>
    </w:p>
    <w:p w14:paraId="3C1D1E68" w14:textId="4E32B46D" w:rsidR="00A45EEC" w:rsidRPr="00455F84" w:rsidRDefault="00A45EEC" w:rsidP="00A45EEC">
      <w:pPr>
        <w:pStyle w:val="Odstavecseseznamem"/>
        <w:numPr>
          <w:ilvl w:val="0"/>
          <w:numId w:val="3"/>
        </w:numPr>
        <w:jc w:val="both"/>
        <w:rPr>
          <w:rFonts w:cstheme="minorHAnsi"/>
          <w:sz w:val="24"/>
          <w:szCs w:val="24"/>
        </w:rPr>
      </w:pPr>
      <w:r w:rsidRPr="00455F84">
        <w:rPr>
          <w:rFonts w:cstheme="minorHAnsi"/>
          <w:sz w:val="24"/>
          <w:szCs w:val="24"/>
        </w:rPr>
        <w:t xml:space="preserve">výstavba nových </w:t>
      </w:r>
      <w:r w:rsidR="00455F84">
        <w:rPr>
          <w:rFonts w:cstheme="minorHAnsi"/>
          <w:sz w:val="24"/>
          <w:szCs w:val="24"/>
        </w:rPr>
        <w:t>bezpečných a zabezpečených</w:t>
      </w:r>
      <w:r w:rsidRPr="00455F84">
        <w:rPr>
          <w:rFonts w:cstheme="minorHAnsi"/>
          <w:sz w:val="24"/>
          <w:szCs w:val="24"/>
        </w:rPr>
        <w:t xml:space="preserve"> parkovišť pro kamiony podle Parkovacího standard EU</w:t>
      </w:r>
      <w:r w:rsidR="007F40BF">
        <w:rPr>
          <w:rStyle w:val="Znakapoznpodarou"/>
          <w:rFonts w:cstheme="minorHAnsi"/>
          <w:sz w:val="24"/>
          <w:szCs w:val="24"/>
        </w:rPr>
        <w:footnoteReference w:id="3"/>
      </w:r>
    </w:p>
    <w:p w14:paraId="44244A3B" w14:textId="77777777" w:rsidR="00A45EEC" w:rsidRPr="00455F84" w:rsidRDefault="00A45EEC" w:rsidP="00A45EEC">
      <w:pPr>
        <w:pStyle w:val="Odstavecseseznamem"/>
        <w:numPr>
          <w:ilvl w:val="0"/>
          <w:numId w:val="3"/>
        </w:numPr>
        <w:jc w:val="both"/>
        <w:rPr>
          <w:rFonts w:cstheme="minorHAnsi"/>
          <w:sz w:val="24"/>
          <w:szCs w:val="24"/>
        </w:rPr>
      </w:pPr>
      <w:r w:rsidRPr="00455F84">
        <w:rPr>
          <w:rFonts w:cstheme="minorHAnsi"/>
          <w:sz w:val="24"/>
          <w:szCs w:val="24"/>
        </w:rPr>
        <w:t>modernizace stávajících parkovišť podle Parkovacího standard EU</w:t>
      </w:r>
    </w:p>
    <w:p w14:paraId="3F409A17" w14:textId="051A294C" w:rsidR="00A45EEC" w:rsidRPr="00455F84" w:rsidRDefault="00A45EEC" w:rsidP="00A45EEC">
      <w:pPr>
        <w:pStyle w:val="Odstavecseseznamem"/>
        <w:numPr>
          <w:ilvl w:val="0"/>
          <w:numId w:val="3"/>
        </w:numPr>
        <w:jc w:val="both"/>
        <w:rPr>
          <w:rFonts w:cstheme="minorHAnsi"/>
          <w:sz w:val="24"/>
          <w:szCs w:val="24"/>
        </w:rPr>
      </w:pPr>
      <w:r w:rsidRPr="00455F84">
        <w:rPr>
          <w:rFonts w:cstheme="minorHAnsi"/>
          <w:sz w:val="24"/>
          <w:szCs w:val="24"/>
        </w:rPr>
        <w:t>optimalizace využití parkov</w:t>
      </w:r>
      <w:r w:rsidR="00455F84">
        <w:rPr>
          <w:rFonts w:cstheme="minorHAnsi"/>
          <w:sz w:val="24"/>
          <w:szCs w:val="24"/>
        </w:rPr>
        <w:t>a</w:t>
      </w:r>
      <w:r w:rsidRPr="00455F84">
        <w:rPr>
          <w:rFonts w:cstheme="minorHAnsi"/>
          <w:sz w:val="24"/>
          <w:szCs w:val="24"/>
        </w:rPr>
        <w:t>cích míst prostřednictvím ITS</w:t>
      </w:r>
    </w:p>
    <w:p w14:paraId="2C644A56" w14:textId="77777777" w:rsidR="00A45EEC" w:rsidRPr="00A45EEC" w:rsidRDefault="00A45EEC" w:rsidP="00A45EEC">
      <w:pPr>
        <w:pStyle w:val="Odstavecseseznamem"/>
        <w:jc w:val="both"/>
        <w:rPr>
          <w:rFonts w:cstheme="minorHAnsi"/>
          <w:sz w:val="24"/>
          <w:szCs w:val="24"/>
          <w:lang w:val="en-IE"/>
        </w:rPr>
      </w:pPr>
    </w:p>
    <w:p w14:paraId="1E8480E3" w14:textId="77777777" w:rsidR="00C76A64" w:rsidRPr="00455F84" w:rsidRDefault="00C76A64" w:rsidP="00C76A64">
      <w:pPr>
        <w:ind w:left="360"/>
        <w:jc w:val="both"/>
        <w:rPr>
          <w:rFonts w:cstheme="minorHAnsi"/>
          <w:i/>
          <w:sz w:val="24"/>
          <w:szCs w:val="24"/>
          <w:lang w:val="en-IE"/>
        </w:rPr>
      </w:pPr>
      <w:r w:rsidRPr="00455F84">
        <w:rPr>
          <w:rFonts w:cstheme="minorHAnsi"/>
          <w:i/>
          <w:sz w:val="24"/>
          <w:szCs w:val="24"/>
          <w:lang w:val="en-IE"/>
        </w:rPr>
        <w:t>In accordance with the Article 9(2</w:t>
      </w:r>
      <w:proofErr w:type="gramStart"/>
      <w:r w:rsidRPr="00455F84">
        <w:rPr>
          <w:rFonts w:cstheme="minorHAnsi"/>
          <w:i/>
          <w:sz w:val="24"/>
          <w:szCs w:val="24"/>
          <w:lang w:val="en-IE"/>
        </w:rPr>
        <w:t>)(</w:t>
      </w:r>
      <w:proofErr w:type="gramEnd"/>
      <w:r w:rsidRPr="00455F84">
        <w:rPr>
          <w:rFonts w:cstheme="minorHAnsi"/>
          <w:i/>
          <w:sz w:val="24"/>
          <w:szCs w:val="24"/>
          <w:lang w:val="en-IE"/>
        </w:rPr>
        <w:t>b)(vi) of the CEF Regulation, the following Actions will be supported:</w:t>
      </w:r>
    </w:p>
    <w:p w14:paraId="5C514E6B" w14:textId="77777777" w:rsidR="00C76A64" w:rsidRPr="00455F84" w:rsidRDefault="00C76A64" w:rsidP="00C76A64">
      <w:pPr>
        <w:pStyle w:val="Odstavecseseznamem"/>
        <w:numPr>
          <w:ilvl w:val="0"/>
          <w:numId w:val="12"/>
        </w:numPr>
        <w:spacing w:after="160" w:line="256" w:lineRule="auto"/>
        <w:jc w:val="both"/>
        <w:rPr>
          <w:rFonts w:cstheme="minorHAnsi"/>
          <w:bCs/>
          <w:i/>
          <w:sz w:val="24"/>
          <w:szCs w:val="24"/>
          <w:lang w:val="en-IE"/>
        </w:rPr>
      </w:pPr>
      <w:r w:rsidRPr="00455F84">
        <w:rPr>
          <w:rFonts w:cstheme="minorHAnsi"/>
          <w:bCs/>
          <w:i/>
          <w:sz w:val="24"/>
          <w:szCs w:val="24"/>
          <w:lang w:val="en-IE"/>
        </w:rPr>
        <w:t>works aiming at the development of new safe and secure parking areas on the road Core network for trucks and commercial vehicles according to the EU Parking Standard (including safety and security Information and Communication Technologies);</w:t>
      </w:r>
    </w:p>
    <w:p w14:paraId="363A436D" w14:textId="77777777" w:rsidR="00C76A64" w:rsidRPr="00455F84" w:rsidRDefault="00C76A64" w:rsidP="00C76A64">
      <w:pPr>
        <w:pStyle w:val="Odstavecseseznamem"/>
        <w:numPr>
          <w:ilvl w:val="0"/>
          <w:numId w:val="12"/>
        </w:numPr>
        <w:spacing w:after="160" w:line="256" w:lineRule="auto"/>
        <w:jc w:val="both"/>
        <w:rPr>
          <w:rFonts w:cstheme="minorHAnsi"/>
          <w:bCs/>
          <w:i/>
          <w:sz w:val="24"/>
          <w:szCs w:val="24"/>
          <w:lang w:val="en-IE"/>
        </w:rPr>
      </w:pPr>
      <w:r w:rsidRPr="00455F84">
        <w:rPr>
          <w:rFonts w:cstheme="minorHAnsi"/>
          <w:bCs/>
          <w:i/>
          <w:sz w:val="24"/>
          <w:szCs w:val="24"/>
          <w:lang w:val="en-IE"/>
        </w:rPr>
        <w:t>works aiming at upgrading the safety and security of existing parking areas on the road Core network for trucks and commercial vehicles according to the EU Parking Standard (including safety and security Information and Communication Technologies);</w:t>
      </w:r>
    </w:p>
    <w:p w14:paraId="74397D4B" w14:textId="77777777" w:rsidR="00C76A64" w:rsidRPr="00455F84" w:rsidRDefault="00C76A64" w:rsidP="00C76A64">
      <w:pPr>
        <w:pStyle w:val="Odstavecseseznamem"/>
        <w:numPr>
          <w:ilvl w:val="0"/>
          <w:numId w:val="12"/>
        </w:numPr>
        <w:spacing w:after="160" w:line="256" w:lineRule="auto"/>
        <w:jc w:val="both"/>
        <w:rPr>
          <w:rFonts w:cstheme="minorHAnsi"/>
          <w:i/>
          <w:sz w:val="24"/>
          <w:szCs w:val="24"/>
          <w:lang w:val="en-IE"/>
        </w:rPr>
      </w:pPr>
      <w:proofErr w:type="gramStart"/>
      <w:r w:rsidRPr="00455F84">
        <w:rPr>
          <w:rFonts w:cstheme="minorHAnsi"/>
          <w:bCs/>
          <w:i/>
          <w:sz w:val="24"/>
          <w:szCs w:val="24"/>
          <w:lang w:val="en-IE"/>
        </w:rPr>
        <w:t>works</w:t>
      </w:r>
      <w:proofErr w:type="gramEnd"/>
      <w:r w:rsidRPr="00455F84">
        <w:rPr>
          <w:rFonts w:cstheme="minorHAnsi"/>
          <w:bCs/>
          <w:i/>
          <w:sz w:val="24"/>
          <w:szCs w:val="24"/>
          <w:lang w:val="en-IE"/>
        </w:rPr>
        <w:t xml:space="preserve"> optimising the use of existing safe and secure parking areas for trucks and commercial vehicles through static and dynamic information including the collection, processing and dissemination of parking information. These interventions shall comply with Commission Delegated Regulation No (EU) 885/2013 and apply Union standards (e.g. DATEX2) and Guidelines (</w:t>
      </w:r>
      <w:proofErr w:type="spellStart"/>
      <w:r w:rsidRPr="00455F84">
        <w:rPr>
          <w:rFonts w:cstheme="minorHAnsi"/>
          <w:bCs/>
          <w:i/>
          <w:sz w:val="24"/>
          <w:szCs w:val="24"/>
          <w:lang w:val="en-IE"/>
        </w:rPr>
        <w:t>Easyway</w:t>
      </w:r>
      <w:proofErr w:type="spellEnd"/>
      <w:r w:rsidRPr="00455F84">
        <w:rPr>
          <w:rFonts w:cstheme="minorHAnsi"/>
          <w:bCs/>
          <w:i/>
          <w:sz w:val="24"/>
          <w:szCs w:val="24"/>
          <w:lang w:val="en-IE"/>
        </w:rPr>
        <w:t xml:space="preserve"> Deployment Guidelines), set up methods for measuring accurate and reliable data from sensors, cameras or other monitoring devices and analyse priority zones needed, as defined in Delegated Regulation No (EU) 885/2013, taking into account traffic conditions, infrastructure shortages or weaknesses and driving regulations.</w:t>
      </w:r>
    </w:p>
    <w:p w14:paraId="5C889823" w14:textId="77777777" w:rsidR="00A45EEC" w:rsidRDefault="00A45EEC" w:rsidP="00C76A64">
      <w:pPr>
        <w:ind w:left="360"/>
        <w:jc w:val="both"/>
        <w:rPr>
          <w:rFonts w:cstheme="minorHAnsi"/>
          <w:b/>
          <w:bCs/>
          <w:sz w:val="24"/>
          <w:szCs w:val="24"/>
          <w:lang w:val="en-IE"/>
        </w:rPr>
      </w:pPr>
    </w:p>
    <w:p w14:paraId="7F415426" w14:textId="77777777" w:rsidR="00C76A64" w:rsidRPr="008A41F1" w:rsidRDefault="00A45EEC" w:rsidP="00C76A64">
      <w:pPr>
        <w:ind w:left="360"/>
        <w:jc w:val="both"/>
        <w:rPr>
          <w:rFonts w:cstheme="minorHAnsi"/>
          <w:b/>
          <w:bCs/>
          <w:sz w:val="24"/>
          <w:szCs w:val="24"/>
          <w:lang w:val="en-IE"/>
        </w:rPr>
      </w:pPr>
      <w:r w:rsidRPr="00455F84">
        <w:rPr>
          <w:rFonts w:cstheme="minorHAnsi"/>
          <w:b/>
          <w:bCs/>
          <w:sz w:val="24"/>
          <w:szCs w:val="24"/>
        </w:rPr>
        <w:t>Bezpečnost dopravy</w:t>
      </w:r>
      <w:r>
        <w:rPr>
          <w:rFonts w:cstheme="minorHAnsi"/>
          <w:b/>
          <w:bCs/>
          <w:sz w:val="24"/>
          <w:szCs w:val="24"/>
          <w:lang w:val="en-IE"/>
        </w:rPr>
        <w:t xml:space="preserve"> </w:t>
      </w:r>
      <w:r w:rsidRPr="00A45EEC">
        <w:rPr>
          <w:rFonts w:cstheme="minorHAnsi"/>
          <w:bCs/>
          <w:i/>
          <w:sz w:val="24"/>
          <w:szCs w:val="24"/>
          <w:lang w:val="en-IE"/>
        </w:rPr>
        <w:t>(</w:t>
      </w:r>
      <w:r w:rsidR="00C76A64" w:rsidRPr="00A45EEC">
        <w:rPr>
          <w:rFonts w:cstheme="minorHAnsi"/>
          <w:bCs/>
          <w:i/>
          <w:sz w:val="24"/>
          <w:szCs w:val="24"/>
          <w:lang w:val="en-IE"/>
        </w:rPr>
        <w:t>Road safety</w:t>
      </w:r>
      <w:r w:rsidRPr="00A45EEC">
        <w:rPr>
          <w:rFonts w:cstheme="minorHAnsi"/>
          <w:bCs/>
          <w:i/>
          <w:sz w:val="24"/>
          <w:szCs w:val="24"/>
          <w:lang w:val="en-IE"/>
        </w:rPr>
        <w:t>)</w:t>
      </w:r>
    </w:p>
    <w:p w14:paraId="0846230E" w14:textId="4B5CF7AB" w:rsidR="00A45EEC" w:rsidRPr="00455F84" w:rsidRDefault="00A45EEC" w:rsidP="00C76A64">
      <w:pPr>
        <w:ind w:left="360"/>
        <w:jc w:val="both"/>
        <w:rPr>
          <w:rFonts w:cstheme="minorHAnsi"/>
          <w:sz w:val="24"/>
          <w:szCs w:val="24"/>
        </w:rPr>
      </w:pPr>
      <w:r w:rsidRPr="00455F84">
        <w:rPr>
          <w:rFonts w:cstheme="minorHAnsi"/>
          <w:sz w:val="24"/>
          <w:szCs w:val="24"/>
        </w:rPr>
        <w:t>Podporované a</w:t>
      </w:r>
      <w:r w:rsidR="00455F84">
        <w:rPr>
          <w:rFonts w:cstheme="minorHAnsi"/>
          <w:sz w:val="24"/>
          <w:szCs w:val="24"/>
        </w:rPr>
        <w:t>k</w:t>
      </w:r>
      <w:r w:rsidRPr="00455F84">
        <w:rPr>
          <w:rFonts w:cstheme="minorHAnsi"/>
          <w:sz w:val="24"/>
          <w:szCs w:val="24"/>
        </w:rPr>
        <w:t>tivity:</w:t>
      </w:r>
    </w:p>
    <w:p w14:paraId="05BB7D46" w14:textId="77777777" w:rsidR="00A45EEC" w:rsidRPr="00455F84" w:rsidRDefault="00A45EEC" w:rsidP="00A45EEC">
      <w:pPr>
        <w:pStyle w:val="Odstavecseseznamem"/>
        <w:numPr>
          <w:ilvl w:val="0"/>
          <w:numId w:val="16"/>
        </w:numPr>
        <w:jc w:val="both"/>
        <w:rPr>
          <w:rFonts w:cstheme="minorHAnsi"/>
          <w:sz w:val="24"/>
          <w:szCs w:val="24"/>
        </w:rPr>
      </w:pPr>
      <w:r w:rsidRPr="00455F84">
        <w:rPr>
          <w:rFonts w:cstheme="minorHAnsi"/>
          <w:sz w:val="24"/>
          <w:szCs w:val="24"/>
        </w:rPr>
        <w:t>studie a akční plány zaměřené na zvýšení bezpečnosti dopravy</w:t>
      </w:r>
    </w:p>
    <w:p w14:paraId="04C187DA" w14:textId="77777777" w:rsidR="00A45EEC" w:rsidRPr="00455F84" w:rsidRDefault="00A45EEC" w:rsidP="00A45EEC">
      <w:pPr>
        <w:pStyle w:val="Odstavecseseznamem"/>
        <w:numPr>
          <w:ilvl w:val="0"/>
          <w:numId w:val="16"/>
        </w:numPr>
        <w:jc w:val="both"/>
        <w:rPr>
          <w:rFonts w:cstheme="minorHAnsi"/>
          <w:sz w:val="24"/>
          <w:szCs w:val="24"/>
        </w:rPr>
      </w:pPr>
      <w:r w:rsidRPr="00455F84">
        <w:rPr>
          <w:rFonts w:cstheme="minorHAnsi"/>
          <w:sz w:val="24"/>
          <w:szCs w:val="24"/>
        </w:rPr>
        <w:t>zvyšování bezpečnosti úseků TEN-T s nízkým hodnocením bezpečnosti</w:t>
      </w:r>
    </w:p>
    <w:p w14:paraId="0F856A20" w14:textId="77777777" w:rsidR="00A45EEC" w:rsidRDefault="00A45EEC" w:rsidP="00C76A64">
      <w:pPr>
        <w:ind w:left="360"/>
        <w:jc w:val="both"/>
        <w:rPr>
          <w:rFonts w:cstheme="minorHAnsi"/>
          <w:sz w:val="24"/>
          <w:szCs w:val="24"/>
          <w:lang w:val="en-IE"/>
        </w:rPr>
      </w:pPr>
    </w:p>
    <w:p w14:paraId="0C44FC62" w14:textId="77777777" w:rsidR="00C76A64" w:rsidRPr="00455F84" w:rsidRDefault="00C76A64" w:rsidP="00C76A64">
      <w:pPr>
        <w:ind w:left="360"/>
        <w:jc w:val="both"/>
        <w:rPr>
          <w:rFonts w:cstheme="minorHAnsi"/>
          <w:i/>
          <w:sz w:val="24"/>
          <w:szCs w:val="24"/>
          <w:lang w:val="en-IE"/>
        </w:rPr>
      </w:pPr>
      <w:r w:rsidRPr="00455F84">
        <w:rPr>
          <w:rFonts w:cstheme="minorHAnsi"/>
          <w:i/>
          <w:sz w:val="24"/>
          <w:szCs w:val="24"/>
          <w:lang w:val="en-IE"/>
        </w:rPr>
        <w:t>In accordance with Article 9(2</w:t>
      </w:r>
      <w:proofErr w:type="gramStart"/>
      <w:r w:rsidRPr="00455F84">
        <w:rPr>
          <w:rFonts w:cstheme="minorHAnsi"/>
          <w:i/>
          <w:sz w:val="24"/>
          <w:szCs w:val="24"/>
          <w:lang w:val="en-IE"/>
        </w:rPr>
        <w:t>)(</w:t>
      </w:r>
      <w:proofErr w:type="gramEnd"/>
      <w:r w:rsidRPr="00455F84">
        <w:rPr>
          <w:rFonts w:cstheme="minorHAnsi"/>
          <w:i/>
          <w:sz w:val="24"/>
          <w:szCs w:val="24"/>
          <w:lang w:val="en-IE"/>
        </w:rPr>
        <w:t>b)(vi) of the CEF Regulation, the following Actions will be supported:</w:t>
      </w:r>
    </w:p>
    <w:p w14:paraId="4D92FC44" w14:textId="77777777" w:rsidR="00C76A64" w:rsidRPr="00455F84" w:rsidRDefault="00C76A64" w:rsidP="00C76A64">
      <w:pPr>
        <w:pStyle w:val="Odstavecseseznamem"/>
        <w:numPr>
          <w:ilvl w:val="0"/>
          <w:numId w:val="12"/>
        </w:numPr>
        <w:spacing w:after="160" w:line="256" w:lineRule="auto"/>
        <w:jc w:val="both"/>
        <w:rPr>
          <w:rFonts w:cstheme="minorHAnsi"/>
          <w:bCs/>
          <w:i/>
          <w:sz w:val="24"/>
          <w:szCs w:val="24"/>
          <w:lang w:val="en-IE"/>
        </w:rPr>
      </w:pPr>
      <w:r w:rsidRPr="00455F84">
        <w:rPr>
          <w:rFonts w:cstheme="minorHAnsi"/>
          <w:bCs/>
          <w:i/>
          <w:sz w:val="24"/>
          <w:szCs w:val="24"/>
          <w:lang w:val="en-IE"/>
        </w:rPr>
        <w:t>Studies for assessing the infrastructure safety of roads of the core and comprehensive network and developing comprehensive action plans for a coordinated improvement of safety levels, including the network-wide road safety assessment in accordance with Directive (EU) 2019/1936;</w:t>
      </w:r>
    </w:p>
    <w:p w14:paraId="1AE48D2E" w14:textId="77777777" w:rsidR="00C76A64" w:rsidRPr="00455F84" w:rsidRDefault="00C76A64" w:rsidP="00C76A64">
      <w:pPr>
        <w:pStyle w:val="Odstavecseseznamem"/>
        <w:numPr>
          <w:ilvl w:val="0"/>
          <w:numId w:val="12"/>
        </w:numPr>
        <w:spacing w:after="160" w:line="256" w:lineRule="auto"/>
        <w:jc w:val="both"/>
        <w:rPr>
          <w:rFonts w:cstheme="minorHAnsi"/>
          <w:bCs/>
          <w:i/>
          <w:sz w:val="24"/>
          <w:szCs w:val="24"/>
          <w:lang w:val="en-IE"/>
        </w:rPr>
      </w:pPr>
      <w:r w:rsidRPr="00455F84">
        <w:rPr>
          <w:rFonts w:cstheme="minorHAnsi"/>
          <w:bCs/>
          <w:i/>
          <w:sz w:val="24"/>
          <w:szCs w:val="24"/>
          <w:lang w:val="en-IE"/>
        </w:rPr>
        <w:t>Works for the upgrading of existing road sections of the core and comprehensive network road infrastructure with poor safety rating or high accident occurrence, with a view to increasing their safety. Such actions may include:</w:t>
      </w:r>
    </w:p>
    <w:p w14:paraId="4D08D455" w14:textId="77777777" w:rsidR="00C76A64" w:rsidRPr="00455F84" w:rsidRDefault="00C76A64" w:rsidP="00C76A64">
      <w:pPr>
        <w:pStyle w:val="Odstavecseseznamem"/>
        <w:numPr>
          <w:ilvl w:val="1"/>
          <w:numId w:val="12"/>
        </w:numPr>
        <w:spacing w:after="160" w:line="256" w:lineRule="auto"/>
        <w:jc w:val="both"/>
        <w:rPr>
          <w:rFonts w:cstheme="minorHAnsi"/>
          <w:bCs/>
          <w:i/>
          <w:sz w:val="24"/>
          <w:szCs w:val="24"/>
          <w:lang w:val="en-IE"/>
        </w:rPr>
      </w:pPr>
      <w:r w:rsidRPr="00455F84">
        <w:rPr>
          <w:rFonts w:cstheme="minorHAnsi"/>
          <w:bCs/>
          <w:i/>
          <w:sz w:val="24"/>
          <w:szCs w:val="24"/>
          <w:lang w:val="en-IE"/>
        </w:rPr>
        <w:t>systemic improvements to the in-built safety of roads;</w:t>
      </w:r>
    </w:p>
    <w:p w14:paraId="66C6AAAD" w14:textId="77777777" w:rsidR="00C76A64" w:rsidRPr="00455F84" w:rsidRDefault="00C76A64" w:rsidP="00C76A64">
      <w:pPr>
        <w:pStyle w:val="Odstavecseseznamem"/>
        <w:numPr>
          <w:ilvl w:val="1"/>
          <w:numId w:val="12"/>
        </w:numPr>
        <w:spacing w:after="160" w:line="256" w:lineRule="auto"/>
        <w:jc w:val="both"/>
        <w:rPr>
          <w:rFonts w:cstheme="minorHAnsi"/>
          <w:bCs/>
          <w:i/>
          <w:sz w:val="24"/>
          <w:szCs w:val="24"/>
          <w:lang w:val="en-IE"/>
        </w:rPr>
      </w:pPr>
      <w:r w:rsidRPr="00455F84">
        <w:rPr>
          <w:rFonts w:cstheme="minorHAnsi"/>
          <w:bCs/>
          <w:i/>
          <w:sz w:val="24"/>
          <w:szCs w:val="24"/>
          <w:lang w:val="en-IE"/>
        </w:rPr>
        <w:t>implementation of measures identified during the network-wide road safety assessment in accordance with Directive (EU) 2019/1936;</w:t>
      </w:r>
    </w:p>
    <w:p w14:paraId="6E8E9AF7" w14:textId="77777777" w:rsidR="00C76A64" w:rsidRPr="00455F84" w:rsidRDefault="00C76A64" w:rsidP="00C76A64">
      <w:pPr>
        <w:pStyle w:val="Odstavecseseznamem"/>
        <w:numPr>
          <w:ilvl w:val="1"/>
          <w:numId w:val="12"/>
        </w:numPr>
        <w:spacing w:after="160" w:line="256" w:lineRule="auto"/>
        <w:jc w:val="both"/>
        <w:rPr>
          <w:rFonts w:cstheme="minorHAnsi"/>
          <w:bCs/>
          <w:i/>
          <w:sz w:val="24"/>
          <w:szCs w:val="24"/>
          <w:lang w:val="en-IE"/>
        </w:rPr>
      </w:pPr>
      <w:r w:rsidRPr="00455F84">
        <w:rPr>
          <w:rFonts w:cstheme="minorHAnsi"/>
          <w:bCs/>
          <w:i/>
          <w:sz w:val="24"/>
          <w:szCs w:val="24"/>
          <w:lang w:val="en-IE"/>
        </w:rPr>
        <w:t>upgrades of most critical and accident-prone sections (“hot spots”) as identified in the network-wide road safety assessment in accordance with the Directive (EU) 2019/1936;</w:t>
      </w:r>
    </w:p>
    <w:p w14:paraId="6FDBFA0D" w14:textId="77777777" w:rsidR="00C76A64" w:rsidRPr="00455F84" w:rsidRDefault="00C76A64" w:rsidP="00C76A64">
      <w:pPr>
        <w:pStyle w:val="Odstavecseseznamem"/>
        <w:numPr>
          <w:ilvl w:val="1"/>
          <w:numId w:val="12"/>
        </w:numPr>
        <w:spacing w:after="160" w:line="256" w:lineRule="auto"/>
        <w:jc w:val="both"/>
        <w:rPr>
          <w:rFonts w:cstheme="minorHAnsi"/>
          <w:bCs/>
          <w:i/>
          <w:sz w:val="24"/>
          <w:szCs w:val="24"/>
          <w:lang w:val="en-IE"/>
        </w:rPr>
      </w:pPr>
      <w:proofErr w:type="gramStart"/>
      <w:r w:rsidRPr="00455F84">
        <w:rPr>
          <w:rFonts w:cstheme="minorHAnsi"/>
          <w:bCs/>
          <w:i/>
          <w:sz w:val="24"/>
          <w:szCs w:val="24"/>
          <w:lang w:val="en-IE"/>
        </w:rPr>
        <w:t>deploying</w:t>
      </w:r>
      <w:proofErr w:type="gramEnd"/>
      <w:r w:rsidRPr="00455F84">
        <w:rPr>
          <w:rFonts w:cstheme="minorHAnsi"/>
          <w:bCs/>
          <w:i/>
          <w:sz w:val="24"/>
          <w:szCs w:val="24"/>
          <w:lang w:val="en-IE"/>
        </w:rPr>
        <w:t xml:space="preserve"> digital information systems for the safe road and road tunnel use and/or enforcement purposes.</w:t>
      </w:r>
    </w:p>
    <w:p w14:paraId="6514BC88" w14:textId="77777777" w:rsidR="00C76A64" w:rsidRPr="00455F84" w:rsidRDefault="0031629C" w:rsidP="00C76A64">
      <w:pPr>
        <w:ind w:left="360"/>
        <w:jc w:val="both"/>
        <w:rPr>
          <w:rFonts w:cstheme="minorHAnsi"/>
          <w:bCs/>
          <w:i/>
          <w:sz w:val="24"/>
          <w:szCs w:val="24"/>
          <w:lang w:val="en-IE"/>
        </w:rPr>
      </w:pPr>
      <w:r w:rsidRPr="00455F84">
        <w:rPr>
          <w:rFonts w:cstheme="minorHAnsi"/>
          <w:b/>
          <w:bCs/>
          <w:sz w:val="24"/>
          <w:szCs w:val="24"/>
        </w:rPr>
        <w:t>Zvyšování odolnosti dopravní infrastruktury</w:t>
      </w:r>
      <w:r>
        <w:rPr>
          <w:rFonts w:cstheme="minorHAnsi"/>
          <w:b/>
          <w:bCs/>
          <w:sz w:val="24"/>
          <w:szCs w:val="24"/>
          <w:lang w:val="en-IE"/>
        </w:rPr>
        <w:t xml:space="preserve"> </w:t>
      </w:r>
      <w:r w:rsidRPr="00455F84">
        <w:rPr>
          <w:rFonts w:cstheme="minorHAnsi"/>
          <w:bCs/>
          <w:i/>
          <w:sz w:val="24"/>
          <w:szCs w:val="24"/>
          <w:lang w:val="en-IE"/>
        </w:rPr>
        <w:t>(</w:t>
      </w:r>
      <w:r w:rsidR="00C76A64" w:rsidRPr="00455F84">
        <w:rPr>
          <w:rFonts w:cstheme="minorHAnsi"/>
          <w:bCs/>
          <w:i/>
          <w:sz w:val="24"/>
          <w:szCs w:val="24"/>
          <w:lang w:val="en-IE"/>
        </w:rPr>
        <w:t>Actions improving transport infrastructure resilience</w:t>
      </w:r>
      <w:r w:rsidRPr="00455F84">
        <w:rPr>
          <w:rFonts w:cstheme="minorHAnsi"/>
          <w:bCs/>
          <w:i/>
          <w:sz w:val="24"/>
          <w:szCs w:val="24"/>
          <w:lang w:val="en-IE"/>
        </w:rPr>
        <w:t>)</w:t>
      </w:r>
    </w:p>
    <w:p w14:paraId="67919854" w14:textId="17287C53" w:rsidR="0031629C" w:rsidRPr="00455F84" w:rsidRDefault="0031629C" w:rsidP="00455F84">
      <w:pPr>
        <w:ind w:left="360"/>
        <w:jc w:val="both"/>
        <w:rPr>
          <w:rFonts w:cstheme="minorHAnsi"/>
          <w:sz w:val="24"/>
          <w:szCs w:val="24"/>
        </w:rPr>
      </w:pPr>
      <w:r w:rsidRPr="00455F84">
        <w:rPr>
          <w:rFonts w:cstheme="minorHAnsi"/>
          <w:sz w:val="24"/>
          <w:szCs w:val="24"/>
        </w:rPr>
        <w:t>Podporované a</w:t>
      </w:r>
      <w:r w:rsidR="00455F84" w:rsidRPr="00455F84">
        <w:rPr>
          <w:rFonts w:cstheme="minorHAnsi"/>
          <w:sz w:val="24"/>
          <w:szCs w:val="24"/>
        </w:rPr>
        <w:t>k</w:t>
      </w:r>
      <w:r w:rsidRPr="00455F84">
        <w:rPr>
          <w:rFonts w:cstheme="minorHAnsi"/>
          <w:sz w:val="24"/>
          <w:szCs w:val="24"/>
        </w:rPr>
        <w:t>tivity:</w:t>
      </w:r>
    </w:p>
    <w:p w14:paraId="0CA1E37F" w14:textId="63BE85C3" w:rsidR="00535646" w:rsidRDefault="0031629C" w:rsidP="0031629C">
      <w:pPr>
        <w:pStyle w:val="Odstavecseseznamem"/>
        <w:numPr>
          <w:ilvl w:val="0"/>
          <w:numId w:val="16"/>
        </w:numPr>
        <w:jc w:val="both"/>
        <w:rPr>
          <w:rFonts w:cstheme="minorHAnsi"/>
          <w:bCs/>
          <w:sz w:val="24"/>
          <w:szCs w:val="24"/>
        </w:rPr>
      </w:pPr>
      <w:r w:rsidRPr="00455F84">
        <w:rPr>
          <w:rFonts w:cstheme="minorHAnsi"/>
          <w:bCs/>
          <w:sz w:val="24"/>
          <w:szCs w:val="24"/>
        </w:rPr>
        <w:t>projekty na zvýšení od</w:t>
      </w:r>
      <w:r w:rsidR="0060259E" w:rsidRPr="00455F84">
        <w:rPr>
          <w:rFonts w:cstheme="minorHAnsi"/>
          <w:bCs/>
          <w:sz w:val="24"/>
          <w:szCs w:val="24"/>
        </w:rPr>
        <w:t xml:space="preserve">olnosti </w:t>
      </w:r>
      <w:r w:rsidR="00455F84" w:rsidRPr="00455F84">
        <w:rPr>
          <w:rFonts w:cstheme="minorHAnsi"/>
          <w:bCs/>
          <w:sz w:val="24"/>
          <w:szCs w:val="24"/>
        </w:rPr>
        <w:t>dopravní infrastruktury</w:t>
      </w:r>
      <w:r w:rsidR="00455F84">
        <w:rPr>
          <w:rFonts w:cstheme="minorHAnsi"/>
          <w:bCs/>
          <w:sz w:val="24"/>
          <w:szCs w:val="24"/>
        </w:rPr>
        <w:t xml:space="preserve"> zejména proti klimatické změně a přírodní katastrofám</w:t>
      </w:r>
      <w:r w:rsidR="00535646">
        <w:rPr>
          <w:rFonts w:cstheme="minorHAnsi"/>
          <w:bCs/>
          <w:sz w:val="24"/>
          <w:szCs w:val="24"/>
        </w:rPr>
        <w:t>.</w:t>
      </w:r>
    </w:p>
    <w:p w14:paraId="71A88F68" w14:textId="60AAA954" w:rsidR="00C76A64" w:rsidRPr="00535646" w:rsidRDefault="00535646" w:rsidP="00535646">
      <w:pPr>
        <w:pStyle w:val="Odstavecseseznamem"/>
        <w:numPr>
          <w:ilvl w:val="0"/>
          <w:numId w:val="16"/>
        </w:numPr>
        <w:jc w:val="both"/>
        <w:rPr>
          <w:rFonts w:cstheme="minorHAnsi"/>
          <w:bCs/>
          <w:sz w:val="24"/>
          <w:szCs w:val="24"/>
        </w:rPr>
      </w:pPr>
      <w:r w:rsidRPr="00535646">
        <w:rPr>
          <w:rFonts w:cstheme="minorHAnsi"/>
          <w:bCs/>
          <w:sz w:val="24"/>
          <w:szCs w:val="24"/>
        </w:rPr>
        <w:t>projekty na zvýšení kybernetické bezpečnosti v případě, že jsou součástí výše uvedených aktivit</w:t>
      </w:r>
    </w:p>
    <w:p w14:paraId="0E2EE791" w14:textId="1111AA81" w:rsidR="00535646" w:rsidRDefault="00535646" w:rsidP="00DC686F">
      <w:pPr>
        <w:jc w:val="both"/>
        <w:rPr>
          <w:rFonts w:cstheme="minorHAnsi"/>
          <w:b/>
          <w:bCs/>
          <w:sz w:val="24"/>
          <w:szCs w:val="24"/>
          <w:lang w:val="en-IE"/>
        </w:rPr>
      </w:pPr>
    </w:p>
    <w:p w14:paraId="6DC6CBC3" w14:textId="77777777" w:rsidR="00DC686F" w:rsidRPr="00DC686F" w:rsidRDefault="00DC686F" w:rsidP="00DC686F">
      <w:pPr>
        <w:jc w:val="both"/>
        <w:rPr>
          <w:rFonts w:cstheme="minorHAnsi"/>
          <w:b/>
          <w:bCs/>
          <w:sz w:val="24"/>
          <w:szCs w:val="24"/>
          <w:lang w:val="en-IE"/>
        </w:rPr>
      </w:pPr>
    </w:p>
    <w:p w14:paraId="6A92860F" w14:textId="77777777" w:rsidR="00C76A64" w:rsidRPr="00455F84" w:rsidRDefault="00C76A64" w:rsidP="00C76A64">
      <w:pPr>
        <w:ind w:left="360"/>
        <w:jc w:val="both"/>
        <w:rPr>
          <w:rFonts w:cstheme="minorHAnsi"/>
          <w:i/>
          <w:sz w:val="24"/>
          <w:szCs w:val="24"/>
          <w:lang w:val="en-IE"/>
        </w:rPr>
      </w:pPr>
      <w:r w:rsidRPr="00455F84">
        <w:rPr>
          <w:rFonts w:cstheme="minorHAnsi"/>
          <w:i/>
          <w:sz w:val="24"/>
          <w:szCs w:val="24"/>
          <w:lang w:val="en-IE"/>
        </w:rPr>
        <w:t>In accordance with Article 9(2</w:t>
      </w:r>
      <w:proofErr w:type="gramStart"/>
      <w:r w:rsidRPr="00455F84">
        <w:rPr>
          <w:rFonts w:cstheme="minorHAnsi"/>
          <w:i/>
          <w:sz w:val="24"/>
          <w:szCs w:val="24"/>
          <w:lang w:val="en-IE"/>
        </w:rPr>
        <w:t>)(</w:t>
      </w:r>
      <w:proofErr w:type="gramEnd"/>
      <w:r w:rsidRPr="00455F84">
        <w:rPr>
          <w:rFonts w:cstheme="minorHAnsi"/>
          <w:i/>
          <w:sz w:val="24"/>
          <w:szCs w:val="24"/>
          <w:lang w:val="en-IE"/>
        </w:rPr>
        <w:t>b)(vii), the following Actions will be supported:</w:t>
      </w:r>
    </w:p>
    <w:p w14:paraId="122DE244" w14:textId="77777777" w:rsidR="00C76A64" w:rsidRPr="00455F84" w:rsidRDefault="00C76A64" w:rsidP="00C76A64">
      <w:pPr>
        <w:pStyle w:val="Odstavecseseznamem"/>
        <w:numPr>
          <w:ilvl w:val="0"/>
          <w:numId w:val="12"/>
        </w:numPr>
        <w:spacing w:after="160" w:line="256" w:lineRule="auto"/>
        <w:jc w:val="both"/>
        <w:rPr>
          <w:rFonts w:cstheme="minorHAnsi"/>
          <w:bCs/>
          <w:i/>
          <w:sz w:val="24"/>
          <w:szCs w:val="24"/>
          <w:lang w:val="en-IE"/>
        </w:rPr>
      </w:pPr>
      <w:proofErr w:type="gramStart"/>
      <w:r w:rsidRPr="00455F84">
        <w:rPr>
          <w:rFonts w:cstheme="minorHAnsi"/>
          <w:bCs/>
          <w:i/>
          <w:sz w:val="24"/>
          <w:szCs w:val="24"/>
          <w:lang w:val="en-IE"/>
        </w:rPr>
        <w:t>improvement</w:t>
      </w:r>
      <w:proofErr w:type="gramEnd"/>
      <w:r w:rsidRPr="00455F84">
        <w:rPr>
          <w:rFonts w:cstheme="minorHAnsi"/>
          <w:bCs/>
          <w:i/>
          <w:sz w:val="24"/>
          <w:szCs w:val="24"/>
          <w:lang w:val="en-IE"/>
        </w:rPr>
        <w:t xml:space="preserve"> of transport infrastructure resilience, in particular to climate change and natural disasters through infrastructure upgrades are eligible if the applicant can demonstrate high risks associated with no action and that the Action is in accordance with the National Adaptation Plan of the Member State concerned. I</w:t>
      </w:r>
      <w:r w:rsidRPr="00455F84">
        <w:rPr>
          <w:rFonts w:cstheme="minorHAnsi"/>
          <w:i/>
          <w:sz w:val="24"/>
          <w:szCs w:val="24"/>
          <w:lang w:val="en-IE"/>
        </w:rPr>
        <w:t>mprovement of transport infrastructure resilience may also be eligible as part of Actions supported under Sections 6.1 and 6.2;</w:t>
      </w:r>
    </w:p>
    <w:p w14:paraId="054E0500" w14:textId="77777777" w:rsidR="00C76A64" w:rsidRPr="00455F84" w:rsidRDefault="00C76A64" w:rsidP="00C76A64">
      <w:pPr>
        <w:ind w:left="360"/>
        <w:jc w:val="both"/>
        <w:rPr>
          <w:rFonts w:cstheme="minorHAnsi"/>
          <w:bCs/>
          <w:i/>
          <w:sz w:val="24"/>
          <w:szCs w:val="24"/>
          <w:lang w:val="en-IE"/>
        </w:rPr>
      </w:pPr>
      <w:r w:rsidRPr="00455F84">
        <w:rPr>
          <w:rFonts w:cstheme="minorHAnsi"/>
          <w:bCs/>
          <w:i/>
          <w:sz w:val="24"/>
          <w:szCs w:val="24"/>
          <w:lang w:val="en-IE"/>
        </w:rPr>
        <w:t xml:space="preserve">Actions aimed at improving transport infrastructure resilience against cyber security threats may only be </w:t>
      </w:r>
      <w:r w:rsidRPr="00455F84">
        <w:rPr>
          <w:rFonts w:cstheme="minorHAnsi"/>
          <w:i/>
          <w:sz w:val="24"/>
          <w:szCs w:val="24"/>
          <w:lang w:val="en-IE"/>
        </w:rPr>
        <w:t>eligible as part of Actions supported under Sections 6.1 and 6.2, if relevant.</w:t>
      </w:r>
    </w:p>
    <w:p w14:paraId="2D916261" w14:textId="77777777" w:rsidR="00455F84" w:rsidRDefault="00455F84" w:rsidP="00C76A64">
      <w:pPr>
        <w:ind w:left="360"/>
        <w:jc w:val="both"/>
        <w:rPr>
          <w:rFonts w:cstheme="minorHAnsi"/>
          <w:bCs/>
          <w:i/>
          <w:sz w:val="24"/>
          <w:szCs w:val="24"/>
          <w:lang w:val="en-IE"/>
        </w:rPr>
      </w:pPr>
    </w:p>
    <w:p w14:paraId="1D22909E" w14:textId="486B69AA" w:rsidR="00C76A64" w:rsidRPr="00455F84" w:rsidRDefault="00455F84" w:rsidP="00C76A64">
      <w:pPr>
        <w:ind w:left="360"/>
        <w:jc w:val="both"/>
        <w:rPr>
          <w:rFonts w:cstheme="minorHAnsi"/>
          <w:bCs/>
          <w:i/>
          <w:sz w:val="24"/>
          <w:szCs w:val="24"/>
          <w:lang w:val="en-IE"/>
        </w:rPr>
      </w:pPr>
      <w:r w:rsidRPr="00455F84">
        <w:rPr>
          <w:rFonts w:cstheme="minorHAnsi"/>
          <w:b/>
          <w:bCs/>
          <w:sz w:val="24"/>
          <w:szCs w:val="24"/>
        </w:rPr>
        <w:t>Projekty na přizpůsobení dopravní infrastruktury pro účel</w:t>
      </w:r>
      <w:r>
        <w:rPr>
          <w:rFonts w:cstheme="minorHAnsi"/>
          <w:b/>
          <w:bCs/>
          <w:sz w:val="24"/>
          <w:szCs w:val="24"/>
        </w:rPr>
        <w:t>ům</w:t>
      </w:r>
      <w:r w:rsidRPr="00455F84">
        <w:rPr>
          <w:rFonts w:cstheme="minorHAnsi"/>
          <w:b/>
          <w:bCs/>
          <w:sz w:val="24"/>
          <w:szCs w:val="24"/>
        </w:rPr>
        <w:t xml:space="preserve"> kontroly vn</w:t>
      </w:r>
      <w:r>
        <w:rPr>
          <w:rFonts w:cstheme="minorHAnsi"/>
          <w:b/>
          <w:bCs/>
          <w:sz w:val="24"/>
          <w:szCs w:val="24"/>
        </w:rPr>
        <w:t>ě</w:t>
      </w:r>
      <w:r w:rsidRPr="00455F84">
        <w:rPr>
          <w:rFonts w:cstheme="minorHAnsi"/>
          <w:b/>
          <w:bCs/>
          <w:sz w:val="24"/>
          <w:szCs w:val="24"/>
        </w:rPr>
        <w:t>jších hranic EU</w:t>
      </w:r>
      <w:r>
        <w:rPr>
          <w:rFonts w:cstheme="minorHAnsi"/>
          <w:bCs/>
          <w:i/>
          <w:sz w:val="24"/>
          <w:szCs w:val="24"/>
          <w:lang w:val="en-IE"/>
        </w:rPr>
        <w:t xml:space="preserve"> (</w:t>
      </w:r>
      <w:r w:rsidR="00C76A64" w:rsidRPr="00455F84">
        <w:rPr>
          <w:rFonts w:cstheme="minorHAnsi"/>
          <w:bCs/>
          <w:i/>
          <w:sz w:val="24"/>
          <w:szCs w:val="24"/>
          <w:lang w:val="en-IE"/>
        </w:rPr>
        <w:t>Actions adapting the transport infrastructure for Union external border checks purposes</w:t>
      </w:r>
      <w:r>
        <w:rPr>
          <w:rFonts w:cstheme="minorHAnsi"/>
          <w:bCs/>
          <w:i/>
          <w:sz w:val="24"/>
          <w:szCs w:val="24"/>
          <w:lang w:val="en-IE"/>
        </w:rPr>
        <w:t>)</w:t>
      </w:r>
    </w:p>
    <w:p w14:paraId="11DD5E10" w14:textId="558A7DAB" w:rsidR="00455F84" w:rsidRPr="00455F84" w:rsidRDefault="00455F84" w:rsidP="00C76A64">
      <w:pPr>
        <w:ind w:left="360"/>
        <w:jc w:val="both"/>
        <w:rPr>
          <w:rFonts w:cstheme="minorHAnsi"/>
          <w:sz w:val="24"/>
          <w:szCs w:val="24"/>
        </w:rPr>
      </w:pPr>
      <w:r w:rsidRPr="00455F84">
        <w:rPr>
          <w:rFonts w:cstheme="minorHAnsi"/>
          <w:sz w:val="24"/>
          <w:szCs w:val="24"/>
        </w:rPr>
        <w:t>Pro ČR irelevantní.</w:t>
      </w:r>
    </w:p>
    <w:p w14:paraId="3AD7D614" w14:textId="77777777" w:rsidR="00C76A64" w:rsidRPr="00455F84" w:rsidRDefault="00C76A64" w:rsidP="00C76A64">
      <w:pPr>
        <w:jc w:val="both"/>
        <w:rPr>
          <w:rFonts w:cstheme="minorHAnsi"/>
          <w:i/>
          <w:sz w:val="24"/>
          <w:szCs w:val="24"/>
          <w:lang w:val="en-IE"/>
        </w:rPr>
      </w:pPr>
    </w:p>
    <w:p w14:paraId="053C88CC" w14:textId="146138A8" w:rsidR="00C76A64" w:rsidRPr="00535646" w:rsidRDefault="00455F84" w:rsidP="00455F84">
      <w:pPr>
        <w:pStyle w:val="Odstavecseseznamem"/>
        <w:numPr>
          <w:ilvl w:val="0"/>
          <w:numId w:val="15"/>
        </w:numPr>
        <w:spacing w:after="160" w:line="256" w:lineRule="auto"/>
        <w:jc w:val="both"/>
        <w:rPr>
          <w:rFonts w:cstheme="minorHAnsi"/>
          <w:b/>
          <w:bCs/>
        </w:rPr>
      </w:pPr>
      <w:r>
        <w:rPr>
          <w:rFonts w:cstheme="minorHAnsi"/>
          <w:b/>
          <w:bCs/>
        </w:rPr>
        <w:t>V</w:t>
      </w:r>
      <w:r w:rsidR="00535646">
        <w:rPr>
          <w:rFonts w:cstheme="minorHAnsi"/>
          <w:b/>
          <w:bCs/>
        </w:rPr>
        <w:t>OJENSKÁ MOBILITA</w:t>
      </w:r>
      <w:r>
        <w:rPr>
          <w:rFonts w:cstheme="minorHAnsi"/>
          <w:b/>
          <w:bCs/>
        </w:rPr>
        <w:t xml:space="preserve"> </w:t>
      </w:r>
      <w:r w:rsidRPr="00455F84">
        <w:rPr>
          <w:rFonts w:cstheme="minorHAnsi"/>
          <w:bCs/>
          <w:i/>
        </w:rPr>
        <w:t>(</w:t>
      </w:r>
      <w:proofErr w:type="spellStart"/>
      <w:r w:rsidR="00C76A64" w:rsidRPr="00455F84">
        <w:rPr>
          <w:rFonts w:cstheme="minorHAnsi"/>
          <w:bCs/>
          <w:i/>
        </w:rPr>
        <w:t>Military</w:t>
      </w:r>
      <w:proofErr w:type="spellEnd"/>
      <w:r w:rsidR="00C76A64" w:rsidRPr="00455F84">
        <w:rPr>
          <w:rFonts w:cstheme="minorHAnsi"/>
          <w:bCs/>
          <w:i/>
        </w:rPr>
        <w:t xml:space="preserve"> mobility</w:t>
      </w:r>
      <w:r w:rsidRPr="00455F84">
        <w:rPr>
          <w:rFonts w:cstheme="minorHAnsi"/>
          <w:bCs/>
          <w:i/>
        </w:rPr>
        <w:t>)</w:t>
      </w:r>
    </w:p>
    <w:p w14:paraId="70C745FE" w14:textId="215E8035" w:rsidR="00535646" w:rsidRPr="00535646" w:rsidRDefault="00535646" w:rsidP="00535646">
      <w:pPr>
        <w:pStyle w:val="Odstavecseseznamem"/>
        <w:spacing w:after="160" w:line="256" w:lineRule="auto"/>
        <w:ind w:left="360"/>
        <w:jc w:val="both"/>
        <w:rPr>
          <w:rFonts w:cstheme="minorHAnsi"/>
          <w:bCs/>
        </w:rPr>
      </w:pPr>
      <w:r w:rsidRPr="00535646">
        <w:rPr>
          <w:rFonts w:cstheme="minorHAnsi"/>
          <w:bCs/>
        </w:rPr>
        <w:t>Podporované aktivity:</w:t>
      </w:r>
    </w:p>
    <w:p w14:paraId="41692E2C" w14:textId="5B2EF8BA" w:rsidR="00535646" w:rsidRDefault="00535646" w:rsidP="00535646">
      <w:pPr>
        <w:pStyle w:val="Odstavecseseznamem"/>
        <w:numPr>
          <w:ilvl w:val="0"/>
          <w:numId w:val="16"/>
        </w:numPr>
        <w:spacing w:after="160" w:line="256" w:lineRule="auto"/>
        <w:jc w:val="both"/>
        <w:rPr>
          <w:rFonts w:cstheme="minorHAnsi"/>
          <w:bCs/>
        </w:rPr>
      </w:pPr>
      <w:r w:rsidRPr="00535646">
        <w:rPr>
          <w:rFonts w:cstheme="minorHAnsi"/>
          <w:bCs/>
        </w:rPr>
        <w:t>výše podporované aktivity v případě, že vykazují vysoký potenciál z pohledu civilního i vojenského využití</w:t>
      </w:r>
    </w:p>
    <w:p w14:paraId="3D7B58E0" w14:textId="4C176989" w:rsidR="00535646" w:rsidRPr="00535646" w:rsidRDefault="00535646" w:rsidP="00535646">
      <w:pPr>
        <w:pStyle w:val="Odstavecseseznamem"/>
        <w:numPr>
          <w:ilvl w:val="0"/>
          <w:numId w:val="16"/>
        </w:numPr>
        <w:spacing w:after="160" w:line="256" w:lineRule="auto"/>
        <w:jc w:val="both"/>
        <w:rPr>
          <w:rFonts w:cstheme="minorHAnsi"/>
          <w:bCs/>
        </w:rPr>
      </w:pPr>
      <w:r>
        <w:rPr>
          <w:rFonts w:cstheme="minorHAnsi"/>
          <w:bCs/>
        </w:rPr>
        <w:t>další aktivity (včetně letištní infrastruktury) na TEN-T v případě, že</w:t>
      </w:r>
      <w:r w:rsidRPr="00535646">
        <w:rPr>
          <w:rFonts w:cstheme="minorHAnsi"/>
          <w:bCs/>
        </w:rPr>
        <w:t xml:space="preserve"> vykazují vysoký potenciál z pohledu civilního i vojenského využití</w:t>
      </w:r>
    </w:p>
    <w:p w14:paraId="2B921EF5" w14:textId="77777777" w:rsidR="00C76A64" w:rsidRPr="00535646" w:rsidRDefault="00C76A64" w:rsidP="00C76A64">
      <w:pPr>
        <w:ind w:left="360"/>
        <w:jc w:val="both"/>
        <w:rPr>
          <w:rFonts w:cstheme="minorHAnsi"/>
          <w:i/>
          <w:sz w:val="24"/>
          <w:szCs w:val="24"/>
          <w:lang w:val="en-IE"/>
        </w:rPr>
      </w:pPr>
      <w:r w:rsidRPr="00535646">
        <w:rPr>
          <w:rFonts w:cstheme="minorHAnsi"/>
          <w:i/>
          <w:sz w:val="24"/>
          <w:szCs w:val="24"/>
          <w:lang w:val="en-IE"/>
        </w:rPr>
        <w:t>In accordance with Article 9(2</w:t>
      </w:r>
      <w:proofErr w:type="gramStart"/>
      <w:r w:rsidRPr="00535646">
        <w:rPr>
          <w:rFonts w:cstheme="minorHAnsi"/>
          <w:i/>
          <w:sz w:val="24"/>
          <w:szCs w:val="24"/>
          <w:lang w:val="en-IE"/>
        </w:rPr>
        <w:t>)(</w:t>
      </w:r>
      <w:proofErr w:type="gramEnd"/>
      <w:r w:rsidRPr="00535646">
        <w:rPr>
          <w:rFonts w:cstheme="minorHAnsi"/>
          <w:i/>
          <w:sz w:val="24"/>
          <w:szCs w:val="24"/>
          <w:lang w:val="en-IE"/>
        </w:rPr>
        <w:t>c) and Article [11a] of the CEF Regulation, the following actions will be supported:</w:t>
      </w:r>
    </w:p>
    <w:p w14:paraId="1FBA708D" w14:textId="77777777" w:rsidR="00C76A64" w:rsidRPr="00535646" w:rsidRDefault="00C76A64" w:rsidP="00C76A64">
      <w:pPr>
        <w:pStyle w:val="Odstavecseseznamem"/>
        <w:numPr>
          <w:ilvl w:val="0"/>
          <w:numId w:val="12"/>
        </w:numPr>
        <w:spacing w:after="160" w:line="256" w:lineRule="auto"/>
        <w:jc w:val="both"/>
        <w:rPr>
          <w:rFonts w:cstheme="minorHAnsi"/>
          <w:bCs/>
          <w:i/>
          <w:sz w:val="24"/>
          <w:szCs w:val="24"/>
          <w:lang w:val="en-IE"/>
        </w:rPr>
      </w:pPr>
      <w:r w:rsidRPr="00535646">
        <w:rPr>
          <w:rFonts w:cstheme="minorHAnsi"/>
          <w:bCs/>
          <w:i/>
          <w:sz w:val="24"/>
          <w:szCs w:val="24"/>
          <w:lang w:val="en-IE"/>
        </w:rPr>
        <w:t>All actions described in sections 6.1 or 6.2 of this multiannual work programme if they demonstrate a high potential of dual use in the context of military mobility;</w:t>
      </w:r>
    </w:p>
    <w:p w14:paraId="4E7C9901" w14:textId="77777777" w:rsidR="00C76A64" w:rsidRPr="00535646" w:rsidRDefault="00C76A64" w:rsidP="00C76A64">
      <w:pPr>
        <w:pStyle w:val="Odstavecseseznamem"/>
        <w:numPr>
          <w:ilvl w:val="0"/>
          <w:numId w:val="12"/>
        </w:numPr>
        <w:spacing w:after="160" w:line="256" w:lineRule="auto"/>
        <w:jc w:val="both"/>
        <w:rPr>
          <w:rFonts w:cstheme="minorHAnsi"/>
          <w:bCs/>
          <w:i/>
          <w:sz w:val="24"/>
          <w:szCs w:val="24"/>
          <w:lang w:val="en-IE"/>
        </w:rPr>
      </w:pPr>
      <w:r w:rsidRPr="00535646">
        <w:rPr>
          <w:rFonts w:cstheme="minorHAnsi"/>
          <w:bCs/>
          <w:i/>
          <w:sz w:val="24"/>
          <w:szCs w:val="24"/>
          <w:lang w:val="en-IE"/>
        </w:rPr>
        <w:t>Actions regarding the upgrade of sections and components of the Core and Comprehensive Network not covered in sections 6.1 or 6.2 of this multiannual work programme if they demonstrate a high potential of dual use in the context of military mobility;</w:t>
      </w:r>
    </w:p>
    <w:p w14:paraId="1D0695A8" w14:textId="77777777" w:rsidR="00C76A64" w:rsidRPr="00535646" w:rsidRDefault="00C76A64" w:rsidP="00C76A64">
      <w:pPr>
        <w:pStyle w:val="Odstavecseseznamem"/>
        <w:numPr>
          <w:ilvl w:val="0"/>
          <w:numId w:val="12"/>
        </w:numPr>
        <w:spacing w:after="160" w:line="256" w:lineRule="auto"/>
        <w:jc w:val="both"/>
        <w:rPr>
          <w:rFonts w:cstheme="minorHAnsi"/>
          <w:bCs/>
          <w:i/>
          <w:sz w:val="24"/>
          <w:szCs w:val="24"/>
          <w:lang w:val="en-IE"/>
        </w:rPr>
      </w:pPr>
      <w:r w:rsidRPr="00535646">
        <w:rPr>
          <w:rFonts w:cstheme="minorHAnsi"/>
          <w:bCs/>
          <w:i/>
          <w:sz w:val="24"/>
          <w:szCs w:val="24"/>
          <w:lang w:val="en-IE"/>
        </w:rPr>
        <w:t>Actions concerning air transport infrastructure components, as defined in Regulation (EU) No 1315/2013, if they demonstrate a high potential of dual use in the context of military mobility.</w:t>
      </w:r>
    </w:p>
    <w:p w14:paraId="20A7FCCA" w14:textId="77777777" w:rsidR="00C76A64" w:rsidRPr="00535646" w:rsidRDefault="00C76A64" w:rsidP="00C76A64">
      <w:pPr>
        <w:ind w:left="360"/>
        <w:jc w:val="both"/>
        <w:rPr>
          <w:rFonts w:cstheme="minorHAnsi"/>
          <w:i/>
          <w:sz w:val="24"/>
          <w:szCs w:val="24"/>
          <w:lang w:val="en-IE"/>
        </w:rPr>
      </w:pPr>
      <w:r w:rsidRPr="00535646">
        <w:rPr>
          <w:rFonts w:cstheme="minorHAnsi"/>
          <w:i/>
          <w:sz w:val="24"/>
          <w:szCs w:val="24"/>
          <w:lang w:val="en-IE"/>
        </w:rPr>
        <w:t>Such actions shall take into account the infrastructure requirements set out in the Commission implementing act to be adopted pursuant to Article [11a] of the CEF Regulation.</w:t>
      </w:r>
    </w:p>
    <w:p w14:paraId="6799920B" w14:textId="77777777" w:rsidR="00C76A64" w:rsidRPr="008A41F1" w:rsidRDefault="00C76A64" w:rsidP="00982AE4">
      <w:pPr>
        <w:rPr>
          <w:rFonts w:cstheme="minorHAnsi"/>
        </w:rPr>
      </w:pPr>
    </w:p>
    <w:sectPr w:rsidR="00C76A64" w:rsidRPr="008A41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B5323" w14:textId="77777777" w:rsidR="00C76A64" w:rsidRDefault="00C76A64" w:rsidP="00C76A64">
      <w:r>
        <w:separator/>
      </w:r>
    </w:p>
  </w:endnote>
  <w:endnote w:type="continuationSeparator" w:id="0">
    <w:p w14:paraId="6A7B6D62" w14:textId="77777777" w:rsidR="00C76A64" w:rsidRDefault="00C76A64" w:rsidP="00C76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07AFE" w14:textId="77777777" w:rsidR="00C76A64" w:rsidRDefault="00C76A64" w:rsidP="00C76A64">
      <w:r>
        <w:separator/>
      </w:r>
    </w:p>
  </w:footnote>
  <w:footnote w:type="continuationSeparator" w:id="0">
    <w:p w14:paraId="698080F5" w14:textId="77777777" w:rsidR="00C76A64" w:rsidRDefault="00C76A64" w:rsidP="00C76A64">
      <w:r>
        <w:continuationSeparator/>
      </w:r>
    </w:p>
  </w:footnote>
  <w:footnote w:id="1">
    <w:p w14:paraId="1440C728" w14:textId="46401FC7" w:rsidR="00940E0A" w:rsidRPr="00940E0A" w:rsidRDefault="00940E0A">
      <w:pPr>
        <w:pStyle w:val="Textpoznpodarou"/>
        <w:rPr>
          <w:lang w:val="cs-CZ"/>
        </w:rPr>
      </w:pPr>
      <w:r>
        <w:rPr>
          <w:rStyle w:val="Znakapoznpodarou"/>
        </w:rPr>
        <w:footnoteRef/>
      </w:r>
      <w:r>
        <w:t xml:space="preserve"> </w:t>
      </w:r>
      <w:hyperlink r:id="rId1" w:history="1">
        <w:r w:rsidRPr="00E22B7F">
          <w:rPr>
            <w:rStyle w:val="Hypertextovodkaz"/>
          </w:rPr>
          <w:t>https://ec.europa.eu/inea/sites/inea/files/ertms_decision-annex_i_unitcontributions.pdf</w:t>
        </w:r>
      </w:hyperlink>
    </w:p>
  </w:footnote>
  <w:footnote w:id="2">
    <w:p w14:paraId="02196D7D" w14:textId="0AFD25C1" w:rsidR="007F40BF" w:rsidRPr="007F40BF" w:rsidRDefault="007F40BF" w:rsidP="007F40BF">
      <w:pPr>
        <w:pStyle w:val="Textpoznpodarou"/>
        <w:rPr>
          <w:lang w:val="cs-CZ"/>
        </w:rPr>
      </w:pPr>
      <w:r>
        <w:rPr>
          <w:rStyle w:val="Znakapoznpodarou"/>
        </w:rPr>
        <w:footnoteRef/>
      </w:r>
      <w:r>
        <w:t xml:space="preserve"> </w:t>
      </w:r>
      <w:hyperlink r:id="rId2" w:history="1">
        <w:r w:rsidRPr="00673B46">
          <w:rPr>
            <w:rStyle w:val="Hypertextovodkaz"/>
            <w:rFonts w:ascii="Times New Roman" w:hAnsi="Times New Roman" w:cs="Times New Roman"/>
            <w:lang w:val="en-IE"/>
          </w:rPr>
          <w:t>https://ec.europa.eu/transport/sites/transport/files/legislation/2018-decision-cef-use-of-unit-costs.pdf</w:t>
        </w:r>
      </w:hyperlink>
    </w:p>
  </w:footnote>
  <w:footnote w:id="3">
    <w:p w14:paraId="0A4090E5" w14:textId="3F022297" w:rsidR="007F40BF" w:rsidRDefault="007F40BF" w:rsidP="007F40BF">
      <w:pPr>
        <w:pStyle w:val="Textpoznpodarou"/>
        <w:rPr>
          <w:rStyle w:val="Hypertextovodkaz"/>
          <w:rFonts w:ascii="Times New Roman" w:hAnsi="Times New Roman" w:cs="Times New Roman"/>
          <w:lang w:val="en-IE"/>
        </w:rPr>
      </w:pPr>
      <w:r>
        <w:rPr>
          <w:rStyle w:val="Znakapoznpodarou"/>
        </w:rPr>
        <w:footnoteRef/>
      </w:r>
      <w:r>
        <w:t xml:space="preserve"> </w:t>
      </w:r>
      <w:hyperlink r:id="rId3" w:history="1">
        <w:r w:rsidRPr="00673B46">
          <w:rPr>
            <w:rStyle w:val="Hypertextovodkaz"/>
            <w:rFonts w:ascii="Times New Roman" w:hAnsi="Times New Roman" w:cs="Times New Roman"/>
            <w:lang w:val="en-IE"/>
          </w:rPr>
          <w:t>https://ec.europa.eu/transport/sites/transport/files/2019-study-on-safe-and-secure-parking-places-for-trucks.pdf</w:t>
        </w:r>
      </w:hyperlink>
    </w:p>
    <w:p w14:paraId="4FF5D0DF" w14:textId="77777777" w:rsidR="007F40BF" w:rsidRPr="007F40BF" w:rsidRDefault="007F40BF">
      <w:pPr>
        <w:pStyle w:val="Textpoznpodarou"/>
        <w:rPr>
          <w:lang w:val="cs-CZ"/>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597"/>
    <w:multiLevelType w:val="hybridMultilevel"/>
    <w:tmpl w:val="1B4209A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3550DA8"/>
    <w:multiLevelType w:val="hybridMultilevel"/>
    <w:tmpl w:val="114E2DC2"/>
    <w:lvl w:ilvl="0" w:tplc="816ECC3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D673CC"/>
    <w:multiLevelType w:val="hybridMultilevel"/>
    <w:tmpl w:val="D1AEB4F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ACA7B3B"/>
    <w:multiLevelType w:val="multilevel"/>
    <w:tmpl w:val="8414749A"/>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956B50"/>
    <w:multiLevelType w:val="hybridMultilevel"/>
    <w:tmpl w:val="2DD818D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8307AA3"/>
    <w:multiLevelType w:val="hybridMultilevel"/>
    <w:tmpl w:val="44307C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4F61077C"/>
    <w:multiLevelType w:val="hybridMultilevel"/>
    <w:tmpl w:val="B8A6513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5911393A"/>
    <w:multiLevelType w:val="hybridMultilevel"/>
    <w:tmpl w:val="34A02E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5CB67510"/>
    <w:multiLevelType w:val="hybridMultilevel"/>
    <w:tmpl w:val="4B8C98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2231B0A"/>
    <w:multiLevelType w:val="hybridMultilevel"/>
    <w:tmpl w:val="1506D8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63CA04FA"/>
    <w:multiLevelType w:val="hybridMultilevel"/>
    <w:tmpl w:val="69566070"/>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1" w15:restartNumberingAfterBreak="0">
    <w:nsid w:val="66DF4654"/>
    <w:multiLevelType w:val="hybridMultilevel"/>
    <w:tmpl w:val="22B87556"/>
    <w:lvl w:ilvl="0" w:tplc="DC4031F2">
      <w:numFmt w:val="bullet"/>
      <w:lvlText w:val="-"/>
      <w:lvlJc w:val="left"/>
      <w:pPr>
        <w:ind w:left="720" w:hanging="360"/>
      </w:pPr>
      <w:rPr>
        <w:rFonts w:ascii="Calibri" w:eastAsiaTheme="minorHAnsi" w:hAnsi="Calibri" w:cs="Calibri" w:hint="default"/>
      </w:rPr>
    </w:lvl>
    <w:lvl w:ilvl="1" w:tplc="E50EF9D0">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84E4125"/>
    <w:multiLevelType w:val="hybridMultilevel"/>
    <w:tmpl w:val="BE60128C"/>
    <w:lvl w:ilvl="0" w:tplc="7200CC2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75E1BFE"/>
    <w:multiLevelType w:val="hybridMultilevel"/>
    <w:tmpl w:val="2BE66EA0"/>
    <w:lvl w:ilvl="0" w:tplc="DC4031F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784A6E53"/>
    <w:multiLevelType w:val="hybridMultilevel"/>
    <w:tmpl w:val="E17E1BBE"/>
    <w:lvl w:ilvl="0" w:tplc="E3061222">
      <w:start w:val="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D84610"/>
    <w:multiLevelType w:val="hybridMultilevel"/>
    <w:tmpl w:val="37B8D54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1"/>
  </w:num>
  <w:num w:numId="4">
    <w:abstractNumId w:val="12"/>
  </w:num>
  <w:num w:numId="5">
    <w:abstractNumId w:val="3"/>
  </w:num>
  <w:num w:numId="6">
    <w:abstractNumId w:val="7"/>
  </w:num>
  <w:num w:numId="7">
    <w:abstractNumId w:val="15"/>
  </w:num>
  <w:num w:numId="8">
    <w:abstractNumId w:val="5"/>
  </w:num>
  <w:num w:numId="9">
    <w:abstractNumId w:val="9"/>
  </w:num>
  <w:num w:numId="10">
    <w:abstractNumId w:val="10"/>
  </w:num>
  <w:num w:numId="11">
    <w:abstractNumId w:val="2"/>
  </w:num>
  <w:num w:numId="12">
    <w:abstractNumId w:val="0"/>
  </w:num>
  <w:num w:numId="13">
    <w:abstractNumId w:val="1"/>
  </w:num>
  <w:num w:numId="14">
    <w:abstractNumId w:val="14"/>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2B3"/>
    <w:rsid w:val="0001761A"/>
    <w:rsid w:val="00020A7F"/>
    <w:rsid w:val="00026939"/>
    <w:rsid w:val="000324B0"/>
    <w:rsid w:val="00032570"/>
    <w:rsid w:val="00032EED"/>
    <w:rsid w:val="000346CC"/>
    <w:rsid w:val="00044DBB"/>
    <w:rsid w:val="00046D98"/>
    <w:rsid w:val="000679BA"/>
    <w:rsid w:val="00070E9E"/>
    <w:rsid w:val="00076707"/>
    <w:rsid w:val="000915EA"/>
    <w:rsid w:val="000A3F78"/>
    <w:rsid w:val="000C5795"/>
    <w:rsid w:val="000C5EA8"/>
    <w:rsid w:val="000D15CE"/>
    <w:rsid w:val="000F475A"/>
    <w:rsid w:val="00116078"/>
    <w:rsid w:val="00126DB8"/>
    <w:rsid w:val="00134E9D"/>
    <w:rsid w:val="0016546B"/>
    <w:rsid w:val="001660A2"/>
    <w:rsid w:val="00176434"/>
    <w:rsid w:val="0018169F"/>
    <w:rsid w:val="0018591E"/>
    <w:rsid w:val="001A073E"/>
    <w:rsid w:val="001C6A7F"/>
    <w:rsid w:val="001E1701"/>
    <w:rsid w:val="001F1D43"/>
    <w:rsid w:val="001F5F66"/>
    <w:rsid w:val="001F7632"/>
    <w:rsid w:val="00224BBB"/>
    <w:rsid w:val="00225455"/>
    <w:rsid w:val="002421CC"/>
    <w:rsid w:val="00255470"/>
    <w:rsid w:val="00262E12"/>
    <w:rsid w:val="00273333"/>
    <w:rsid w:val="00274874"/>
    <w:rsid w:val="00296173"/>
    <w:rsid w:val="00296695"/>
    <w:rsid w:val="002B529A"/>
    <w:rsid w:val="002E7ACF"/>
    <w:rsid w:val="002F0E07"/>
    <w:rsid w:val="002F3B34"/>
    <w:rsid w:val="0031629C"/>
    <w:rsid w:val="003201D2"/>
    <w:rsid w:val="00340083"/>
    <w:rsid w:val="00360CE7"/>
    <w:rsid w:val="003654B8"/>
    <w:rsid w:val="0038066C"/>
    <w:rsid w:val="003B3FFB"/>
    <w:rsid w:val="003C11F3"/>
    <w:rsid w:val="003D351F"/>
    <w:rsid w:val="003E091C"/>
    <w:rsid w:val="003E149C"/>
    <w:rsid w:val="003F0DD7"/>
    <w:rsid w:val="0041329E"/>
    <w:rsid w:val="004164AA"/>
    <w:rsid w:val="00435497"/>
    <w:rsid w:val="004373B4"/>
    <w:rsid w:val="00455F84"/>
    <w:rsid w:val="00460753"/>
    <w:rsid w:val="00460DC2"/>
    <w:rsid w:val="00463F23"/>
    <w:rsid w:val="00486242"/>
    <w:rsid w:val="00486C86"/>
    <w:rsid w:val="00492EA0"/>
    <w:rsid w:val="004962A8"/>
    <w:rsid w:val="004A3A76"/>
    <w:rsid w:val="004A681A"/>
    <w:rsid w:val="004C1AB7"/>
    <w:rsid w:val="004D3FFA"/>
    <w:rsid w:val="00515C72"/>
    <w:rsid w:val="0052669B"/>
    <w:rsid w:val="005304A2"/>
    <w:rsid w:val="00535646"/>
    <w:rsid w:val="00535E31"/>
    <w:rsid w:val="00551B4E"/>
    <w:rsid w:val="005627CE"/>
    <w:rsid w:val="005B5438"/>
    <w:rsid w:val="005C1A1C"/>
    <w:rsid w:val="005C5ED4"/>
    <w:rsid w:val="005D70E2"/>
    <w:rsid w:val="005F029E"/>
    <w:rsid w:val="0060259E"/>
    <w:rsid w:val="006029F6"/>
    <w:rsid w:val="006367AF"/>
    <w:rsid w:val="0064599F"/>
    <w:rsid w:val="00671E33"/>
    <w:rsid w:val="00682322"/>
    <w:rsid w:val="00693D2E"/>
    <w:rsid w:val="006C3272"/>
    <w:rsid w:val="006C4915"/>
    <w:rsid w:val="006C6C35"/>
    <w:rsid w:val="006D62C8"/>
    <w:rsid w:val="006D6C7A"/>
    <w:rsid w:val="006F0804"/>
    <w:rsid w:val="00702FC0"/>
    <w:rsid w:val="00721FA9"/>
    <w:rsid w:val="00762D45"/>
    <w:rsid w:val="00780B2C"/>
    <w:rsid w:val="007A1534"/>
    <w:rsid w:val="007F1702"/>
    <w:rsid w:val="007F40BF"/>
    <w:rsid w:val="0083174E"/>
    <w:rsid w:val="008445A1"/>
    <w:rsid w:val="008512CF"/>
    <w:rsid w:val="00873352"/>
    <w:rsid w:val="00874A4F"/>
    <w:rsid w:val="00883E42"/>
    <w:rsid w:val="0089793E"/>
    <w:rsid w:val="00897D6C"/>
    <w:rsid w:val="008A41F1"/>
    <w:rsid w:val="008D0202"/>
    <w:rsid w:val="008E1A77"/>
    <w:rsid w:val="008F6558"/>
    <w:rsid w:val="00940E0A"/>
    <w:rsid w:val="0097612F"/>
    <w:rsid w:val="00976215"/>
    <w:rsid w:val="00982AE4"/>
    <w:rsid w:val="00994ED1"/>
    <w:rsid w:val="00996375"/>
    <w:rsid w:val="009B10B4"/>
    <w:rsid w:val="009B208A"/>
    <w:rsid w:val="009D2C31"/>
    <w:rsid w:val="009E5435"/>
    <w:rsid w:val="00A32B82"/>
    <w:rsid w:val="00A36439"/>
    <w:rsid w:val="00A45EEC"/>
    <w:rsid w:val="00A67EF9"/>
    <w:rsid w:val="00A74A2C"/>
    <w:rsid w:val="00A81024"/>
    <w:rsid w:val="00AE50DC"/>
    <w:rsid w:val="00AF0414"/>
    <w:rsid w:val="00AF2AF8"/>
    <w:rsid w:val="00B16652"/>
    <w:rsid w:val="00B46CF1"/>
    <w:rsid w:val="00B47A7C"/>
    <w:rsid w:val="00B74618"/>
    <w:rsid w:val="00B86676"/>
    <w:rsid w:val="00BA2611"/>
    <w:rsid w:val="00BA419E"/>
    <w:rsid w:val="00BC10F7"/>
    <w:rsid w:val="00BD4BB9"/>
    <w:rsid w:val="00C009B1"/>
    <w:rsid w:val="00C07568"/>
    <w:rsid w:val="00C3437B"/>
    <w:rsid w:val="00C36FDA"/>
    <w:rsid w:val="00C44E09"/>
    <w:rsid w:val="00C465B1"/>
    <w:rsid w:val="00C52717"/>
    <w:rsid w:val="00C550AE"/>
    <w:rsid w:val="00C76A64"/>
    <w:rsid w:val="00C93BFC"/>
    <w:rsid w:val="00CC51F0"/>
    <w:rsid w:val="00CF6910"/>
    <w:rsid w:val="00D009B6"/>
    <w:rsid w:val="00D038F5"/>
    <w:rsid w:val="00D217F9"/>
    <w:rsid w:val="00D34E8A"/>
    <w:rsid w:val="00D45F60"/>
    <w:rsid w:val="00D5287B"/>
    <w:rsid w:val="00D760A3"/>
    <w:rsid w:val="00D81367"/>
    <w:rsid w:val="00D908B5"/>
    <w:rsid w:val="00D927D2"/>
    <w:rsid w:val="00D944D1"/>
    <w:rsid w:val="00DA0BA3"/>
    <w:rsid w:val="00DC686F"/>
    <w:rsid w:val="00DD2384"/>
    <w:rsid w:val="00DD603F"/>
    <w:rsid w:val="00DE5B00"/>
    <w:rsid w:val="00DF046F"/>
    <w:rsid w:val="00DF3F92"/>
    <w:rsid w:val="00E14DFB"/>
    <w:rsid w:val="00E272C9"/>
    <w:rsid w:val="00E45370"/>
    <w:rsid w:val="00E656C5"/>
    <w:rsid w:val="00E76154"/>
    <w:rsid w:val="00E82891"/>
    <w:rsid w:val="00E8334E"/>
    <w:rsid w:val="00E8649E"/>
    <w:rsid w:val="00E97913"/>
    <w:rsid w:val="00EB4ADB"/>
    <w:rsid w:val="00ED377D"/>
    <w:rsid w:val="00ED38AF"/>
    <w:rsid w:val="00F20677"/>
    <w:rsid w:val="00F27642"/>
    <w:rsid w:val="00F409ED"/>
    <w:rsid w:val="00F57B54"/>
    <w:rsid w:val="00F63A6E"/>
    <w:rsid w:val="00F73EED"/>
    <w:rsid w:val="00F83D88"/>
    <w:rsid w:val="00FD1D0F"/>
    <w:rsid w:val="00FE5879"/>
    <w:rsid w:val="00FF12B3"/>
    <w:rsid w:val="00FF30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3E6D"/>
  <w15:chartTrackingRefBased/>
  <w15:docId w15:val="{1328751E-62DB-4E48-85E9-A3C7690E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74618"/>
    <w:pPr>
      <w:spacing w:after="0" w:line="240" w:lineRule="auto"/>
    </w:pPr>
  </w:style>
  <w:style w:type="paragraph" w:styleId="Nadpis1">
    <w:name w:val="heading 1"/>
    <w:basedOn w:val="Normln"/>
    <w:next w:val="Normln"/>
    <w:link w:val="Nadpis1Char"/>
    <w:uiPriority w:val="9"/>
    <w:qFormat/>
    <w:rsid w:val="00976215"/>
    <w:pPr>
      <w:keepNext/>
      <w:keepLines/>
      <w:spacing w:after="240"/>
      <w:jc w:val="center"/>
      <w:outlineLvl w:val="0"/>
    </w:pPr>
    <w:rPr>
      <w:rFonts w:eastAsiaTheme="majorEastAsia" w:cstheme="minorHAnsi"/>
      <w:b/>
      <w:color w:val="2E74B5" w:themeColor="accent1" w:themeShade="BF"/>
      <w:sz w:val="32"/>
      <w:szCs w:val="32"/>
    </w:rPr>
  </w:style>
  <w:style w:type="paragraph" w:styleId="Nadpis2">
    <w:name w:val="heading 2"/>
    <w:basedOn w:val="Normln"/>
    <w:next w:val="Normln"/>
    <w:link w:val="Nadpis2Char"/>
    <w:uiPriority w:val="9"/>
    <w:unhideWhenUsed/>
    <w:qFormat/>
    <w:rsid w:val="00976215"/>
    <w:pPr>
      <w:keepNext/>
      <w:keepLines/>
      <w:spacing w:before="180"/>
      <w:outlineLvl w:val="1"/>
    </w:pPr>
    <w:rPr>
      <w:rFonts w:eastAsiaTheme="majorEastAsia" w:cstheme="minorHAnsi"/>
      <w:b/>
      <w:color w:val="2E74B5" w:themeColor="accent1" w:themeShade="B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F12B3"/>
    <w:pPr>
      <w:ind w:left="720"/>
      <w:contextualSpacing/>
    </w:pPr>
  </w:style>
  <w:style w:type="character" w:styleId="Zdraznn">
    <w:name w:val="Emphasis"/>
    <w:basedOn w:val="Standardnpsmoodstavce"/>
    <w:uiPriority w:val="20"/>
    <w:qFormat/>
    <w:rsid w:val="00982AE4"/>
    <w:rPr>
      <w:i/>
      <w:iCs/>
    </w:rPr>
  </w:style>
  <w:style w:type="character" w:styleId="Hypertextovodkaz">
    <w:name w:val="Hyperlink"/>
    <w:basedOn w:val="Standardnpsmoodstavce"/>
    <w:uiPriority w:val="99"/>
    <w:unhideWhenUsed/>
    <w:rsid w:val="00C76A64"/>
    <w:rPr>
      <w:color w:val="0000FF"/>
      <w:u w:val="single"/>
    </w:rPr>
  </w:style>
  <w:style w:type="paragraph" w:styleId="Textpoznpodarou">
    <w:name w:val="footnote text"/>
    <w:basedOn w:val="Normln"/>
    <w:link w:val="TextpoznpodarouChar"/>
    <w:uiPriority w:val="99"/>
    <w:semiHidden/>
    <w:unhideWhenUsed/>
    <w:rsid w:val="00C76A64"/>
    <w:rPr>
      <w:sz w:val="20"/>
      <w:szCs w:val="20"/>
      <w:lang w:val="fr-BE"/>
    </w:rPr>
  </w:style>
  <w:style w:type="character" w:customStyle="1" w:styleId="TextpoznpodarouChar">
    <w:name w:val="Text pozn. pod čarou Char"/>
    <w:basedOn w:val="Standardnpsmoodstavce"/>
    <w:link w:val="Textpoznpodarou"/>
    <w:uiPriority w:val="99"/>
    <w:semiHidden/>
    <w:rsid w:val="00C76A64"/>
    <w:rPr>
      <w:sz w:val="20"/>
      <w:szCs w:val="20"/>
      <w:lang w:val="fr-BE"/>
    </w:rPr>
  </w:style>
  <w:style w:type="character" w:styleId="Znakapoznpodarou">
    <w:name w:val="footnote reference"/>
    <w:basedOn w:val="Standardnpsmoodstavce"/>
    <w:semiHidden/>
    <w:unhideWhenUsed/>
    <w:rsid w:val="00C76A64"/>
    <w:rPr>
      <w:vertAlign w:val="superscript"/>
    </w:rPr>
  </w:style>
  <w:style w:type="character" w:customStyle="1" w:styleId="Nadpis2Char">
    <w:name w:val="Nadpis 2 Char"/>
    <w:basedOn w:val="Standardnpsmoodstavce"/>
    <w:link w:val="Nadpis2"/>
    <w:uiPriority w:val="9"/>
    <w:rsid w:val="00976215"/>
    <w:rPr>
      <w:rFonts w:eastAsiaTheme="majorEastAsia" w:cstheme="minorHAnsi"/>
      <w:b/>
      <w:color w:val="2E74B5" w:themeColor="accent1" w:themeShade="BF"/>
      <w:sz w:val="24"/>
      <w:szCs w:val="24"/>
    </w:rPr>
  </w:style>
  <w:style w:type="character" w:customStyle="1" w:styleId="Nadpis1Char">
    <w:name w:val="Nadpis 1 Char"/>
    <w:basedOn w:val="Standardnpsmoodstavce"/>
    <w:link w:val="Nadpis1"/>
    <w:uiPriority w:val="9"/>
    <w:rsid w:val="00976215"/>
    <w:rPr>
      <w:rFonts w:eastAsiaTheme="majorEastAsia" w:cstheme="minorHAnsi"/>
      <w:b/>
      <w:color w:val="2E74B5" w:themeColor="accent1" w:themeShade="BF"/>
      <w:sz w:val="32"/>
      <w:szCs w:val="32"/>
    </w:rPr>
  </w:style>
  <w:style w:type="character" w:styleId="Odkaznakoment">
    <w:name w:val="annotation reference"/>
    <w:basedOn w:val="Standardnpsmoodstavce"/>
    <w:uiPriority w:val="99"/>
    <w:semiHidden/>
    <w:unhideWhenUsed/>
    <w:rsid w:val="00A45EEC"/>
    <w:rPr>
      <w:sz w:val="16"/>
      <w:szCs w:val="16"/>
    </w:rPr>
  </w:style>
  <w:style w:type="paragraph" w:styleId="Textkomente">
    <w:name w:val="annotation text"/>
    <w:basedOn w:val="Normln"/>
    <w:link w:val="TextkomenteChar"/>
    <w:uiPriority w:val="99"/>
    <w:semiHidden/>
    <w:unhideWhenUsed/>
    <w:rsid w:val="00A45EEC"/>
    <w:rPr>
      <w:sz w:val="20"/>
      <w:szCs w:val="20"/>
    </w:rPr>
  </w:style>
  <w:style w:type="character" w:customStyle="1" w:styleId="TextkomenteChar">
    <w:name w:val="Text komentáře Char"/>
    <w:basedOn w:val="Standardnpsmoodstavce"/>
    <w:link w:val="Textkomente"/>
    <w:uiPriority w:val="99"/>
    <w:semiHidden/>
    <w:rsid w:val="00A45EEC"/>
    <w:rPr>
      <w:sz w:val="20"/>
      <w:szCs w:val="20"/>
    </w:rPr>
  </w:style>
  <w:style w:type="paragraph" w:styleId="Pedmtkomente">
    <w:name w:val="annotation subject"/>
    <w:basedOn w:val="Textkomente"/>
    <w:next w:val="Textkomente"/>
    <w:link w:val="PedmtkomenteChar"/>
    <w:uiPriority w:val="99"/>
    <w:semiHidden/>
    <w:unhideWhenUsed/>
    <w:rsid w:val="00A45EEC"/>
    <w:rPr>
      <w:b/>
      <w:bCs/>
    </w:rPr>
  </w:style>
  <w:style w:type="character" w:customStyle="1" w:styleId="PedmtkomenteChar">
    <w:name w:val="Předmět komentáře Char"/>
    <w:basedOn w:val="TextkomenteChar"/>
    <w:link w:val="Pedmtkomente"/>
    <w:uiPriority w:val="99"/>
    <w:semiHidden/>
    <w:rsid w:val="00A45EEC"/>
    <w:rPr>
      <w:b/>
      <w:bCs/>
      <w:sz w:val="20"/>
      <w:szCs w:val="20"/>
    </w:rPr>
  </w:style>
  <w:style w:type="paragraph" w:styleId="Textbubliny">
    <w:name w:val="Balloon Text"/>
    <w:basedOn w:val="Normln"/>
    <w:link w:val="TextbublinyChar"/>
    <w:uiPriority w:val="99"/>
    <w:semiHidden/>
    <w:unhideWhenUsed/>
    <w:rsid w:val="00A45EE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45EEC"/>
    <w:rPr>
      <w:rFonts w:ascii="Segoe UI" w:hAnsi="Segoe UI" w:cs="Segoe UI"/>
      <w:sz w:val="18"/>
      <w:szCs w:val="18"/>
    </w:rPr>
  </w:style>
  <w:style w:type="character" w:styleId="Sledovanodkaz">
    <w:name w:val="FollowedHyperlink"/>
    <w:basedOn w:val="Standardnpsmoodstavce"/>
    <w:uiPriority w:val="99"/>
    <w:semiHidden/>
    <w:unhideWhenUsed/>
    <w:rsid w:val="007F40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84826">
      <w:bodyDiv w:val="1"/>
      <w:marLeft w:val="0"/>
      <w:marRight w:val="0"/>
      <w:marTop w:val="0"/>
      <w:marBottom w:val="0"/>
      <w:divBdr>
        <w:top w:val="none" w:sz="0" w:space="0" w:color="auto"/>
        <w:left w:val="none" w:sz="0" w:space="0" w:color="auto"/>
        <w:bottom w:val="none" w:sz="0" w:space="0" w:color="auto"/>
        <w:right w:val="none" w:sz="0" w:space="0" w:color="auto"/>
      </w:divBdr>
    </w:div>
    <w:div w:id="151992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cr.cz/c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etr.svab@mdcr.cz"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transport/sites/transport/files/2019-study-on-safe-and-secure-parking-places-for-trucks.pdf" TargetMode="External"/><Relationship Id="rId2" Type="http://schemas.openxmlformats.org/officeDocument/2006/relationships/hyperlink" Target="https://ec.europa.eu/transport/sites/transport/files/legislation/2018-decision-cef-use-of-unit-costs.pdf" TargetMode="External"/><Relationship Id="rId1" Type="http://schemas.openxmlformats.org/officeDocument/2006/relationships/hyperlink" Target="https://ec.europa.eu/inea/sites/inea/files/ertms_decision-annex_i_unitcontributions.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7F393-DE95-4105-90A8-E79B61A80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3776</Words>
  <Characters>22284</Characters>
  <Application>Microsoft Office Word</Application>
  <DocSecurity>4</DocSecurity>
  <Lines>185</Lines>
  <Paragraphs>52</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26008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Šváb Petr Mgr.</dc:creator>
  <cp:keywords/>
  <dc:description/>
  <cp:lastModifiedBy>Šváb Petr Mgr.</cp:lastModifiedBy>
  <cp:revision>2</cp:revision>
  <dcterms:created xsi:type="dcterms:W3CDTF">2021-04-28T16:31:00Z</dcterms:created>
  <dcterms:modified xsi:type="dcterms:W3CDTF">2021-04-28T16:31:00Z</dcterms:modified>
</cp:coreProperties>
</file>